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1B_39/2020 vom 29. Januar 2020</w:t>
      </w:r>
    </w:p>
    <w:p>
      <w:r>
        <w:t>Bundesgericht, 2020-01-29, DE</w:t>
      </w:r>
    </w:p>
    <w:p>
      <w:r>
        <w:rPr>
          <w:b/>
        </w:rPr>
        <w:t xml:space="preserve">Quelle: </w:t>
      </w:r>
      <w:r>
        <w:t>https://mcp.opencaselaw.ch/entscheid/bger_1B_39_2020</w:t>
      </w:r>
    </w:p>
    <w:p>
      <w:r>
        <w:t>FR: TF 1B_39/2020 du 29 janvier 2020</w:t>
      </w:r>
    </w:p>
    <w:p>
      <w:r>
        <w:t>IT: TF 1B_39/2020 del 29 gennaio 2020</w:t>
      </w:r>
    </w:p>
    <w:p>
      <w:pPr>
        <w:pStyle w:val="Heading2"/>
      </w:pPr>
      <w:r>
        <w:t>Erwägungen</w:t>
      </w:r>
    </w:p>
    <w:p>
      <w:r>
        <w:rPr>
          <w:b/>
        </w:rPr>
        <w:t>E. 1</w:t>
      </w:r>
    </w:p>
    <w:p>
      <w:r>
        <w:t>Vor dem Regionalgericht Berner Jura-Seeland ist ein Strafverfahren gegen A.________ wegen Beschimpfung hängig. Mit Eingabe vom 8. Januar 2020 forderte A.________ den Ausstand der verfahrensleitenden Gerichtspräsidentin Holzer-Zaugg, nachdem diese am 6. Januar 2020 eine erste Verfügung erlassen hatte. Die Beschwerdekammer in Strafsachen des Obergerichts des Kantons Bern wies das Ausstandsgesuch mit Beschluss vom 15. Januar 2020 ab. Sie führte zur Begründung zusammenfassend aus, dass keine Vorverurteilung und keine persönliche Feindschaft erkennbar sei. Der Umstand, dass die Gerichtspräsidentin schon in anderer Sache mit dem Gesuchsteller beschäftigt war, begründe keine Befangenheit.</w:t>
      </w:r>
    </w:p>
    <w:p>
      <w:r>
        <w:rPr>
          <w:b/>
        </w:rPr>
        <w:t>E. 2</w:t>
      </w:r>
    </w:p>
    <w:p>
      <w:r>
        <w:t>A.________ führt mit Eingabe vom 20. Januar 2020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Beschwerdekammer in Strafsachen nicht auseinander. Er vermag mit seinen Ausführungen nicht im Einzelnen und konkret aufzuzeigen, dass die Beschwerdekammer in Strafsachen Recht im Sinne von Art. 42 Abs. 2 BGG verletzt hätte, als sie das Ausstandsgesuch abwies. Aus der Beschwerde ergibt sich nicht,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