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39/2017 vom 9. Mai 2017</w:t>
      </w:r>
    </w:p>
    <w:p>
      <w:r>
        <w:t>Bundesgericht, 2017-05-09, DE</w:t>
      </w:r>
    </w:p>
    <w:p>
      <w:r>
        <w:rPr>
          <w:b/>
        </w:rPr>
        <w:t xml:space="preserve">Quelle: </w:t>
      </w:r>
      <w:r>
        <w:t>https://mcp.opencaselaw.ch/entscheid/bger_1B_39_2017</w:t>
      </w:r>
    </w:p>
    <w:p>
      <w:r>
        <w:t>FR: TF 1B 39/2017 du 9 mai 2017</w:t>
      </w:r>
    </w:p>
    <w:p>
      <w:r>
        <w:t>IT: TF 1B 39/2017 del 9 maggio 2017</w:t>
      </w:r>
    </w:p>
    <w:p>
      <w:pPr>
        <w:pStyle w:val="Heading2"/>
      </w:pPr>
      <w:r>
        <w:t>Regeste</w:t>
      </w:r>
    </w:p>
    <w:p>
      <w:r>
        <w:t>Entsiegelungsverfahren; Kostenfolge | Strafprozess</w:t>
      </w:r>
    </w:p>
    <w:p>
      <w:pPr>
        <w:pStyle w:val="Heading2"/>
      </w:pPr>
      <w:r>
        <w:t>Erwägungen</w:t>
      </w:r>
    </w:p>
    <w:p>
      <w:r>
        <w:rPr>
          <w:b/>
        </w:rPr>
        <w:t>E. 1.1</w:t>
      </w:r>
    </w:p>
    <w:p>
      <w:r>
        <w:t>Angefochten ist ein Entscheid des Bundesstrafgerichts in einer verwaltungsstrafrechtlichen Angelegenheit; dagegen steht die Beschwerde in Strafsachen offen ( Art. 78 Abs. 1, Art. 80 Abs. 1, Art. 90 BGG ). Er schliesst das Strafverfahren gegen die Beschwerdeführer allerdings nicht ab; es handelt sich um einen Zwischenentscheid im Sinn von Art. 93 Abs. 1 BGG . Gegen einen solchen ist die Beschwerde u.a. zulässig, wenn er einen nicht wiedergutzumachenden Nachteil rechtlicher Natur ( BGE 133 IV 139 E. 4) bewirken kann (lit. a).</w:t>
      </w:r>
    </w:p>
    <w:p>
      <w:r>
        <w:rPr>
          <w:b/>
        </w:rPr>
        <w:t>E. 1.2</w:t>
      </w:r>
    </w:p>
    <w:p>
      <w:r>
        <w:t>Entsiegelungsentscheide können, je nach den geltend gemachten Gründen, die einer Entsiegelung entgegenstehen sollen, einen nicht wiedergutzumachenden Nachteil bewirken oder auch nicht (vgl. Urteile 1B_14/2017 vom 10. März 2017 E. 1.2; 1B_351/2016 vom 16. November 2016 E. 1.3 und 1.4; 1B_273/2015 vom 21. Januar 2016 E. 1.3; vgl. auch BGE 141 IV 289 E. 1.2 f. S. 291 f.). Nach konstanter Praxis des Bundesgerichts obliegt es den Beschwerdeführern darzutun, dass die Sachurteilsvoraussetzungen von Art. 93 Abs. 1 lit. a BGG erfüllt sind, jedenfalls wenn dies wie hier nicht in die Augen springt ( BGE 137 III 324 E. 1.1 S. 329 mit Hinweisen; 133 III 629 E. 2.3.1). Da die Beschwerdeführer unter Verletzung ihrer gesetzlichen Begründungspflicht nicht darlegen, inwiefern der angefochtene Entscheid einen nicht wiedergutzumachenden Nachteil bewirken könnte, ist auf die Beschwerde nicht einzutreten. Es ist im Übrigen auch nicht ersichtlich, inwiefern die vom Bundesverwaltungsgericht nach dem Unterliegerprinzip vorgenommene Kostenverteilung bundesrechtswidrig sein könnte.</w:t>
      </w:r>
    </w:p>
    <w:p>
      <w:r>
        <w:rPr>
          <w:b/>
        </w:rPr>
        <w:t>E. 2</w:t>
      </w:r>
    </w:p>
    <w:p>
      <w:r>
        <w:t>Auf die Beschwerde ist nicht einzutreten. Bei diesem Ausgang des Verfahrens werden die Beschwerdeführer kostenpflichtig ( Art. 66 Abs. 1 BGG ). Sie haben zwar ein Gesuch um unentgeltliche Rechtspflege gestellt, welches indessen abzuweisen ist, da die Beschwerde aussichtslos war ( Art. 64 Abs. 1 und 2 BGG ). Ihren ungünstigen finanziellen Verhältnissen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