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399/2020 vom 21. August 2020</w:t>
      </w:r>
    </w:p>
    <w:p>
      <w:r>
        <w:t>Bundesgericht, 2020-08-21, IT</w:t>
      </w:r>
    </w:p>
    <w:p>
      <w:r>
        <w:rPr>
          <w:b/>
        </w:rPr>
        <w:t xml:space="preserve">Quelle: </w:t>
      </w:r>
      <w:r>
        <w:t>https://mcp.opencaselaw.ch/entscheid/bger_1B_399_2020</w:t>
      </w:r>
    </w:p>
    <w:p>
      <w:r>
        <w:t>FR: TF 1B 399/2020 du 21 août 2020</w:t>
      </w:r>
    </w:p>
    <w:p>
      <w:r>
        <w:t>IT: TF 1B 399/2020 del 21 agosto 2020</w:t>
      </w:r>
    </w:p>
    <w:p>
      <w:pPr>
        <w:pStyle w:val="Heading2"/>
      </w:pPr>
      <w:r>
        <w:t>Regeste</w:t>
      </w:r>
    </w:p>
    <w:p>
      <w:r>
        <w:t>Procedimento penale; chiusura dell'istruzione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in quanto presentato da A.________, è divenuto privo di oggetto e la sua causa è stralciata dai ruoli, mentre è inammissibile in quanto presentato da B.________.</w:t>
      </w:r>
    </w:p>
    <w:p>
      <w:r>
        <w:rPr>
          <w:b/>
        </w:rPr>
        <w:t>E. 2</w:t>
      </w:r>
    </w:p>
    <w:p>
      <w:r>
        <w:t>Le spese giudiziarie di fr. 200.-- sono poste a carico di B.________.</w:t>
      </w:r>
    </w:p>
    <w:p>
      <w:r>
        <w:rPr>
          <w:b/>
        </w:rPr>
        <w:t>E. 3</w:t>
      </w:r>
    </w:p>
    <w:p>
      <w:r>
        <w:t>Comunicazione ai ricorrenti, al co-curatore avv. Pascal Cattaneo, al Ministero pubblico e alla Corte dei reclami penali del Tribunale d'appello del Cantone Ticino. Losanna, 21 agosto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