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1B_399/2016 vom 31. Oktober 2016</w:t>
      </w:r>
    </w:p>
    <w:p>
      <w:r>
        <w:t>Bundesgericht, 2016-10-31, DE</w:t>
      </w:r>
    </w:p>
    <w:p>
      <w:r>
        <w:rPr>
          <w:b/>
        </w:rPr>
        <w:t xml:space="preserve">Quelle: </w:t>
      </w:r>
      <w:r>
        <w:t>https://mcp.opencaselaw.ch/entscheid/bger_1B_399_2016</w:t>
      </w:r>
    </w:p>
    <w:p>
      <w:r>
        <w:t>FR: TF 1B_399/2016 du 31 octobre 2016</w:t>
      </w:r>
    </w:p>
    <w:p>
      <w:r>
        <w:t>IT: TF 1B_399/2016 del 31 ottobre 2016</w:t>
      </w:r>
    </w:p>
    <w:p>
      <w:pPr>
        <w:pStyle w:val="Heading2"/>
      </w:pPr>
      <w:r>
        <w:t>Erwägungen</w:t>
      </w:r>
    </w:p>
    <w:p>
      <w:r>
        <w:rPr>
          <w:b/>
        </w:rPr>
        <w:t>E. 1</w:t>
      </w:r>
    </w:p>
    <w:p>
      <w:r>
        <w:t>Der Erste Staatsanwalt des Kantons St. Gallen liess am 2. August 2016 A.________ festnehmen und stellte am 4. August 2016 einen Haftantrag. Der Haftrichter versetzte A.________ in der Folge für drei Monate in Untersuchungshaft. Am 4. August 2016 führte der Erste Staatsanwalt mit A.________ die Festnahmeeröffnung durch. Dabei stellte A.________ ein Ausstandsgesuch gegen den Ersten Staatsanwalt. Dasselbe taten mit Eingabe vom 3. August 2016 auch die Ehefrau und die Tochter von A.________. Die Anklagekammer des Kantons St. Gallen wies mit Entscheid vom 7. September 2016 die Ausstandsgesuche ab, soweit sie darauf eintrat.</w:t>
      </w:r>
    </w:p>
    <w:p>
      <w:r>
        <w:rPr>
          <w:b/>
        </w:rPr>
        <w:t>E. 2</w:t>
      </w:r>
    </w:p>
    <w:p>
      <w:r>
        <w:t>A.________ führt mit Eingabe vom 25. Oktober 2016 (Postaufgabe 26. Oktober 2016) Beschwerde in Strafsachen gegen den Entscheid der Anklagekammer des Kantons St. Gallen.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übt hauptsächlich appellatorische Kritik am Vorgehen der kantonalen Behörden und setzt sich überhaupt nicht mit der Begründung des angefochtenen Entscheides auseinander. Mit seinen nicht sachbezogenen Ausführungen vermag er nicht ansatzweise aufzuzeigen, inwiefern die Begründung der Anklagekammer bzw. deren Entscheid im Ergebnis selbst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