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399/2013 vom 29. November 2013</w:t>
      </w:r>
    </w:p>
    <w:p>
      <w:r>
        <w:t>Bundesgericht, 2013-11-29, DE</w:t>
      </w:r>
    </w:p>
    <w:p>
      <w:r>
        <w:rPr>
          <w:b/>
        </w:rPr>
        <w:t xml:space="preserve">Quelle: </w:t>
      </w:r>
      <w:r>
        <w:t>https://mcp.opencaselaw.ch/entscheid/bger_1B_399_2013</w:t>
      </w:r>
    </w:p>
    <w:p>
      <w:r>
        <w:t>FR: TF 1B 399/2013 du 29 novembre 2013</w:t>
      </w:r>
    </w:p>
    <w:p>
      <w:r>
        <w:t>IT: TF 1B 399/2013 del 29 novembre 2013</w:t>
      </w:r>
    </w:p>
    <w:p>
      <w:pPr>
        <w:pStyle w:val="Heading2"/>
      </w:pPr>
      <w:r>
        <w:t>Regeste</w:t>
      </w:r>
    </w:p>
    <w:p>
      <w:r>
        <w:t>Antrag auf Sicherheitshaft | Strafprozess</w:t>
      </w:r>
    </w:p>
    <w:p>
      <w:pPr>
        <w:pStyle w:val="Heading2"/>
      </w:pPr>
      <w:r>
        <w:t>Erwägungen</w:t>
      </w:r>
    </w:p>
    <w:p>
      <w:r>
        <w:rPr>
          <w:b/>
        </w:rPr>
        <w:t>E. 1</w:t>
      </w:r>
    </w:p>
    <w:p>
      <w:r>
        <w:t>Die beiden Beschwerden wurden von bzw. für die gleiche Beschwerdeführerin eingereicht, richten sich gegen denselben Entscheid und enthalten im Wesentlichen die gleichen Anträge. Es rechtfertigt sich daher, die Verfahren zu vereinigen.</w:t>
      </w:r>
    </w:p>
    <w:p>
      <w:r>
        <w:rPr>
          <w:b/>
        </w:rPr>
        <w:t>E. 2</w:t>
      </w:r>
    </w:p>
    <w:p>
      <w:r>
        <w:t>Rechtsanwalt Hofer wurde von der Oberstaatsanwaltschaft mit Verfügung vom 4. Februar 2013 in Anwendung von Art. 130 lit. a und b StPO und Art. 132 Abs. 1 lit. a StPO als notwendiger amtlicher Verteidiger eingesetzt und bleibt damit in diesem Amt, bis sie ihn daraus wieder entlässt. Ist die Beschwerdeführerin mit seiner Amtsführung nicht einverstanden, kann sie der Oberstaatsanwaltschaft einen Verteidigerwechsel beantragen, was sie - soweit dem Bundesgericht bekannt - nicht getan hat. Solange diese Rechtsanwalt Hofer aber nicht entlassen hat, bleibt er befugt und verpflichtet, ihre Interessen im Strafverfahren gegen sie wahrzunehmen. Seine Eingabe ist damit in gleicher Weise als Beschwerde der Beschwerdeführerin entgegenzunehmen und zu behandeln wie die von der Beschwerdeführerin selber verfasste Beschwerdeschrift.</w:t>
      </w:r>
    </w:p>
    <w:p>
      <w:r>
        <w:rPr>
          <w:b/>
        </w:rPr>
        <w:t>E. 3</w:t>
      </w:r>
    </w:p>
    <w:p>
      <w:r>
        <w:t>Angefochten ist der kantonal letztinstanzliche Haftentscheid des Obergerichts. Dagegen ist die Beschwerde in Strafsachen nach den Art. 78 ff. BGG gegeben. Der Antrag auf Aufhebung des angefochtenen Entscheids und Haftentlassung ist zulässig ( BGE 132 I 21 E. 1). Die Beschwerdeführerin ist durch die Anordnung von Sicherheitshaft in ihren rechtlich geschützten Interessen betroffen und damit zur Beschwerde befugt ( Art. 81 Abs. 1 BGG ). Sie macht sinngemäss die Verletzung von Bundesrecht geltend, was zulässig ist ( Art. 95 lit. a BGG ). Die weiteren Sachurteilsvoraussetzungen geben zu keinen Bemerkungen Anlass, sodass auf die Beschwerden einzutreten ist.</w:t>
      </w:r>
    </w:p>
    <w:p>
      <w:r>
        <w:rPr>
          <w:b/>
        </w:rPr>
        <w:t>E. 4</w:t>
      </w:r>
    </w:p>
    <w:p>
      <w:r>
        <w:t>Sicherheitshaft kann unter anderem angeordnet werden, wenn ein dringender Tatverdacht in Bezug auf ein Vergehen oder ein Verbrechen sowie Fluchtgefahr besteht ( Art. 221 Abs. 1 StPO ).</w:t>
      </w:r>
    </w:p>
    <w:p>
      <w:r>
        <w:rPr>
          <w:b/>
        </w:rPr>
        <w:t>E. 4.1</w:t>
      </w:r>
    </w:p>
    <w:p>
      <w:r>
        <w:t>Nicht substanziiert bestritten wird, dass die Beschwerdeführerin dringend verdächtig ist, ihren Sohn gegen den Willen ihres Ehemannes in der Ukraine untergebracht zu haben und sich zu weigern, den Sohn in die Schweiz in die eheliche Wohnung zurückzuholen, obwohl sie in der Zwischenzeit vom Bezirksgericht Brugg, welches das Obhutsrecht über Z.________ ihrem Ehemann zuteilte, dazu verpflichtet wurde. Der dringende Tatverdacht bezieht sich somit auf jeden Fall zumindest (siehe hinten E. 4.3) auf den Tatbestand des Entziehens von Unmündigen im Sinn von Art. 220 StGB und damit auf ein Vergehen im Sinn von Art. 10 Abs. 3 StGB , was die Anordnung von Sicherheitshaft grundsätzlich rechtfertigen kann.</w:t>
      </w:r>
    </w:p>
    <w:p>
      <w:r>
        <w:rPr>
          <w:b/>
        </w:rPr>
        <w:t>E. 4.2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Dass in der vorliegenden Konstellation Fluchtgefahr besteht, ist offensichtlich. Die Beschwerdeführerin könnte sich durch eine Flucht in die Ukraine nicht nur der weiteren Strafverfolgung entziehen, sondern auch die Rückkehr ihres Sohnes in die Schweiz zum obhutsberechtigten Vater möglicherweise auf Dauer verhindern.</w:t>
      </w:r>
    </w:p>
    <w:p>
      <w:r>
        <w:rPr>
          <w:b/>
        </w:rPr>
        <w:t>E. 4.3</w:t>
      </w:r>
    </w:p>
    <w:p>
      <w:r>
        <w:t>Unter dem Gesichtspunkt der Verhältnismässigkeit darf die Untersuchungs- und Sicherheitshaft nur solange erstreckt werden, bis ihre Dauer in grosse Nähe der zu erwartenden Strafe rückt; dies auch deshalb, weil ansonsten das erkennende Gericht versucht sein könnte, die Dauer der erstandenen Haft bei der Strafzumessung mitzuberücksichtigen ( BGE 133 I 168 E. 4.1 mit Hinweisen). Die Beschwerdeführerin befindet sich seit dem 19. Januar 2013 und damit seit rund 10 Monaten in Haft, mit Ablauf der im angefochtenen Entscheid genehmigten Haftdauer werden es rund 11 Monate sein. Das Obergericht hatte im Haftentscheid vom 28. August 2013 Bedenken an der Verhältnismässigkeit der Fortführung der Haft und sie nur um zwei Monate bis zum 16. September 2013 verlängert. Allerdings ging es davon aus, dass "nur" eine Verurteilung wegen Entziehens von Unmündigen im Sinn von Art. 220 StGB zur Debatte stehe. Nach der Rechtsprechung des Bundesgerichts macht sich zwar der Elternteil, der bei gemeinsamem Sorgerecht das minderjährige Kind gegen den Willen des anderen Elternteils an einen anderen Ort verbringt, nicht der Entführung im Sinn von Art. 183 StGB , sondern "nur" des Entziehens von Minderjährigen nach Art. 220 StGB schuldig. Ist dagegen die Obhut einem Elternteil allein zugeteilt, so kann sich der andere nach Art. 183 StGB der Entführung strafbar machen, wenn er das Kind ohne Einwilligung des Obhutsberechtigten an einen anderen Ort verbringt oder es dort zurückhält ( BGE 126 IV 221 ; Urteil 1B_379/ 2009 vom 19. Januar 2010 E. 4). Da der Beschwerdeführerin laut Anklagesachverhalt die Verfügung des Bezirksgerichts Brugg zugestellt wurde und sie somit wusste bzw. wissen musste, dass die Obhut über Z.________ allein bei ihrem Ehemann lag, fällt jedenfalls eine Verurteilung nach Art. 183 StGB für die Zeit nach der Zustellung in Betracht. Sie macht zwar geltend, die Obhut sei ihrem Ehemann bloss vorläufig, für die Dauer des Scheidungsverfahrens zugeteilt worden, was gemäss Urteil 1P.299/2005 vom 29. April 2005 die Anwendbarkeit von Art. 183 StGB ausschliesse. Ob sich dieser Schluss aus diesem Urteil zwingend ergibt und ob er gegebenenfalls im Lichte von Urteil 1B_379/ 2009 vom 19. Januar 2010 aufrechterhalten werden kann, steht indessen nicht von vornherein fest. Im Haftprüfungsstadium ist daher jedenfalls davon auszugehen, dass die Beschwerdeführerin auch mit einer Verurteilung nach Art. 183 StGB rechnen muss. Da sie das Kind dem Obhutsberechtigten zudem über einen längeren, immer noch andauernden Zeitraum vorenthalten soll, liegt auch die Anwendung des qualifizierten Tatbestands von Art. 184 StGB im Rahmen des Möglichen, was eine Mindeststrafe von einem Jahr Freiheitsentzug zur Folge hätte. Bei einer Verurteilung nach den Art. 183 f. StGB und nach Art. 220 StGB hätte sie damit eine Strafe von deutlich über einem Jahr zu gewärtigen. Insofern ist die Haftverlängerung bis zum 16. Dezember 2013 auch unter dem Gesichtspunkt der Überhaft noch nicht zu beanstanden. Dies umso weniger, als bereits am 11. September 2013 Anklage erhoben wurde und das Bezirksgericht die Hauptverhandlung in diesem überschaubaren Verfahren zügig - möglichst noch in diesem Jahr - wird ansetzen können, sofern es das nicht bereits getan hat.</w:t>
      </w:r>
    </w:p>
    <w:p>
      <w:r>
        <w:rPr>
          <w:b/>
        </w:rPr>
        <w:t>E. 5</w:t>
      </w:r>
    </w:p>
    <w:p>
      <w:r>
        <w:t>Die Beschwerden sind somit als unbegründet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