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398/2021 vom 4. August 2021</w:t>
      </w:r>
    </w:p>
    <w:p>
      <w:r>
        <w:t>Bundesgericht, 2021-08-04, DE</w:t>
      </w:r>
    </w:p>
    <w:p>
      <w:r>
        <w:rPr>
          <w:b/>
        </w:rPr>
        <w:t xml:space="preserve">Quelle: </w:t>
      </w:r>
      <w:r>
        <w:t>https://mcp.opencaselaw.ch/entscheid/bger_1B_398_2021</w:t>
      </w:r>
    </w:p>
    <w:p>
      <w:r>
        <w:t>FR: TF 1B 398/2021 du 4 août 2021</w:t>
      </w:r>
    </w:p>
    <w:p>
      <w:r>
        <w:t>IT: TF 1B 398/2021 del 4 agosto 2021</w:t>
      </w:r>
    </w:p>
    <w:p>
      <w:pPr>
        <w:pStyle w:val="Heading2"/>
      </w:pPr>
      <w:r>
        <w:t>Regeste</w:t>
      </w:r>
    </w:p>
    <w:p>
      <w:r>
        <w:t>Sicherheitshaft | Strafprozess</w:t>
      </w:r>
    </w:p>
    <w:p>
      <w:pPr>
        <w:pStyle w:val="Heading2"/>
      </w:pPr>
      <w:r>
        <w:t>Erwägungen</w:t>
      </w:r>
    </w:p>
    <w:p>
      <w:r>
        <w:rPr>
          <w:b/>
        </w:rPr>
        <w:t>E. 1.1</w:t>
      </w:r>
    </w:p>
    <w:p>
      <w:r>
        <w:t>Gegen einen kantonal letztinstanzlichen (vgl. Art. 80 BGG ) Entscheid über die Fortsetzung von Sicherheitshaft während eines Verfahrens vor dem Berufungsgericht (vgl. Art. 232 StPO ) steht die Beschwerde in Strafsachen nach Art. 78 ff. BGG an das Bundesgericht offen. Bei der angefochtenen Präsidialverfügung handelt es sich um einen kantonal letztinstanzlichen Entscheid (vgl. Art. 222 i.V.m. Art. 232 StPO ) nach Art. 80 BGG , weshalb sich die Beschwerde in Strafsachen als zulässig erweist.</w:t>
      </w:r>
    </w:p>
    <w:p>
      <w:r>
        <w:rPr>
          <w:b/>
        </w:rPr>
        <w:t>E. 1.2</w:t>
      </w:r>
    </w:p>
    <w:p>
      <w:r>
        <w:t>Mit der Beschwerde in Strafsachen an das Bundesgericht kann insbesondere die Verletzung von Bundesrecht unter Einschluss von Bundesverfassungsrecht sowie von Völkerrecht, namentlich der Europäischen Menschenrechtskonvention, gerügt werden ( Art. 95 lit. a und b BGG ). Der Beschwerdeführer erhebt solche zulässigen Rügen.</w:t>
      </w:r>
    </w:p>
    <w:p>
      <w:r>
        <w:rPr>
          <w:b/>
        </w:rPr>
        <w:t>E. 1.3</w:t>
      </w:r>
    </w:p>
    <w:p>
      <w:r>
        <w:t>Gemäss Art. 81 Abs. 1 lit. a und b BGG ist zur Beschwerde legitimiert, wer vor der Vorinstanz am Verfahren teilgenommen hat und ein rechtlich geschütztes Interesse an der Aufhebung oder Änderung des angefochtenen Entscheids hat. Der Beschwerdeführer war am vorinstanzlichen Verfahren beteiligt und ist als betroffener Häftling vom angefochtenen Entscheid besonders berührt und mithin zur Beschwerde berechtigt.</w:t>
      </w:r>
    </w:p>
    <w:p>
      <w:r>
        <w:rPr>
          <w:b/>
        </w:rPr>
        <w:t>E. 1.4</w:t>
      </w:r>
    </w:p>
    <w:p>
      <w:r>
        <w:t>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Artikel 95 BGG beruht (vgl. Art. 97 Abs. 1 und 105 Abs. 2 BGG).</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 Besondere Anforderungen gelten bei der Rüge einer Grundrechtsverletzung ( Art. 106 Abs. 2 BGG ; BGE 136 II 304 E. 2.5 S. 314).</w:t>
      </w:r>
    </w:p>
    <w:p>
      <w:r>
        <w:rPr>
          <w:b/>
        </w:rPr>
        <w:t>E. 2.1</w:t>
      </w:r>
    </w:p>
    <w:p>
      <w:r>
        <w:t>Nach den Grundvoraussetzungen von Art. 221 StPO ist Sicherheitshaft insbesondere zulässig, wenn die beschuldigte Person eines Verbrechens oder Vergehens dringend verdächtig ist und ein im Gesetz genannter Haftgrund vorliegt. Die Haft muss überdies verhältnismässig sein (vgl. Art. 5 Abs. 2 und Art. 36 Abs. 3 BV , Art. 197 Abs. 1 lit. c und Art. 212 Abs. 2 lit. c StPO ). Weder ein dringender Tatverdacht noch das Vorliegen eines Haftgrundes sind hier strittig. Die Beschwerdeschrift enthält insofern auch keine ausreichende Begründung. Im Wesentlichen wird darin einzig die Verhältnismässigkeit der Haft aufgrund der bestehenden Haftbedingungen beanstandet.</w:t>
      </w:r>
    </w:p>
    <w:p>
      <w:r>
        <w:rPr>
          <w:b/>
        </w:rPr>
        <w:t>E. 2.2</w:t>
      </w:r>
    </w:p>
    <w:p>
      <w:r>
        <w:t>Der Beschwerdeführer befindet sich noch immer gestützt auf die angefochtene Präsidialverfügung in Haft. Im Unterschied zum Haftentlassungsentscheid vom 5. Juli 2021, wo bereits ein abgelaufener Hafttitel zu beurteilen war und der neue noch nicht wie hier Streitgegenstand bildete, ist sein Gesuch um sofortige Haftentlassung daher zulässig.</w:t>
      </w:r>
    </w:p>
    <w:p>
      <w:r>
        <w:rPr>
          <w:b/>
        </w:rPr>
        <w:t>E. 2.3</w:t>
      </w:r>
    </w:p>
    <w:p>
      <w:r>
        <w:t>Nach Art. 235 Abs. 1 StPO darf die inhaftierte Person in ihrer persönlichen Freiheit nicht stärker eingeschränkt werden, als es der Haftzweck sowie die Ordnung und Sicherheit in der Haftanstalt erfordern. Der Beschwerdeführer sieht in den ihm auferlegten restriktiven Haftbedingungen einen Verstoss gegen das Verbot der Folter bzw. von unmenschlicher und erniedrigender Behandlung nach Art. 3 EMRK und Art. 7 UNO-Pakt II sowie eine Verletzung der staatlichen Gewährleistungspflichten gemäss Art. 1-4 EMRK , der Offizialmaxime nach Art. 7 StPO sowie des Verhältnismässigkeitsgebots von Art. 197 StPO . Dafür beruft er sich insbesondere auf zwei von ihm eingeholte private Gutachten zu den ihm auferlegten Haftbedingungen und deren Auswirkungen. In diesem Zusammenhang macht er auch einen Verstoss gegen den Anspruch auf rechtliches Gehör nach Art. 29 BV , Art. 6 EMRK und Art. 14 Abs. 1 UNO-Pakt II geltend, weil das Obergericht die von ihm eingereichten Privatgutachten nicht genügend gewürdigt und sich dazu nicht zureichend geäussert habe.</w:t>
      </w:r>
    </w:p>
    <w:p>
      <w:r>
        <w:rPr>
          <w:b/>
        </w:rPr>
        <w:t>E. 2.4</w:t>
      </w:r>
    </w:p>
    <w:p>
      <w:r>
        <w:t>Es ist unbestritten, dass der Beschwerdeführer persönlich auf ihn zugeschnittenen, sehr restriktiven Haftbedingungen unterliegt, wovon auch jeweils bereits das Bundesgericht im Verlegungs- sowie im Haftentlassungsentscheid ausging. Insbesondere befindet sich der Beschwerdeführer 23 Stunden am Tag in Isolationshaft und hat auch bei seinem täglichen einstündigen Aufenthalt im Spazierhof keine sozialen Kontakte zu anderen Häftlingen. Ein solches Haftregime wirft auf die Dauer die Frage eines menschenwürdigen Haftvollzugs auf. Dass eine vergleichbare Isolationshaft über längere Zeit menschen- und verfassungsrechtlich bedenklich und besonders zu begründen ist, stellte das Bundesgericht erst kürzlich in einem anderen Fall fest (vgl. das Urteil 6B_587/2021 vom 24. Juni 2021 E. 2). Sollte es bei einem längeren Freiheitsentzug bleiben, müssten die Behörden daher alle möglichen Anstrengungen für angepasste und grundsätzlich zunehmend zu lockernde Haftbedingungen unternehmen. Im Verlegungs- wie auch im Haftverfahren steht allerdings eine kurzfristige Sichtweise im Vordergrund. Im vorliegenden Zusammenhang sind die Auswirkungen der Haftbedingungen in persönlicher, sozialer und insbesondere psychischer Hinsicht bis heute nicht abschliessend geklärt, was namentlich auf die vom Beschwerdeführer angerufenen zwei Privatgutachten zutrifft. Auch dass der UNO-Sonderberichterstatter über Folter und andere grausame, unmenschliche oder erniedrigende Behandlung oder Bestrafung Fragen zu den Haftbedingungen des Beschwerdeführers in Aussicht gestellt hat, bedeutet zwar noch nicht, dass dessen Haftregime bereits deswegen unrechtmässig wäre. Die aktenkundige Sachlage indiziert aber einen entsprechenden Abklärungsbedarf, der erneut insbesondere in einer mittel- bis längerfristigen Sicht beachtlich werden könnte, wie das Bundesgericht ebenfalls bereits im Haftentlassungsentscheid festgehalten hat.</w:t>
      </w:r>
    </w:p>
    <w:p>
      <w:r>
        <w:rPr>
          <w:b/>
        </w:rPr>
        <w:t>E. 2.5</w:t>
      </w:r>
    </w:p>
    <w:p>
      <w:r>
        <w:t>Darin berücksichtigte das Bundesgericht allerdings auch, dass über die Anordnung von Sicherheitshaft beförderlich zu entscheiden ist. Das gilt ebenfalls für die Verlängerung des Freiheitsentzugs, wie sie hier zur Diskussion steht. Unter solchen Umständen ist es der für den Haftentscheid zuständigen Verfahrensleitung des Berufungsgerichts nicht möglich, im Rahmen der Beurteilung der Verhältnismässigkeit der Haft umfassende Abklärungen über die Auswirkungen eines dem Angeklagten auferlegten Haftregimes vorzunehmen. Vielmehr muss es im Wesentlichen bei einer vorläufigen Einschätzung aufgrund jener Aktenlage sein Bewenden haben, die dem Haftgericht vorliegt bzw. sich mit vernünftigem und überschaubarem Aufwand erheben lässt. Das ist grundsätzlich nicht zu beanstanden, soweit die Parteirechte des Betroffenen gewahrt bleiben. Eine umfassende Beurteilung der Haftbedingungen unter Abklärung sämtlicher Umstände hat allenfalls in einem besonderen separaten Verfahren zu erfolgen, in das bei Bedarf auch die Vollzugsbehörden in geeigneter Weise einzubeziehen sind. Ein solches Verfahren kann sich gegebenenfalls sowohl auf strafprozessuale (in Anwendung von Art. 234 ff. StPO ) als auch auf strafvollziehende (vgl. Art. 372 ff. StGB ) Haftbedingungen erstrecken. Im vorliegenden Fall dürften dadurch künftig vor allem die für den Vollzug des Strafurteils befassten Behörden angesprochen sein. Dennoch darf das Haftgericht nicht einfach von der Würdigung der Haftbedingungen absehen, sondern hat diese im Rahmen der Möglichkeiten zu prüfen und beim Haftentscheid mit abzuwägen.</w:t>
      </w:r>
    </w:p>
    <w:p>
      <w:r>
        <w:rPr>
          <w:b/>
        </w:rPr>
        <w:t>E. 3.1</w:t>
      </w:r>
    </w:p>
    <w:p>
      <w:r>
        <w:t>Im vorliegenden Verfahren stellt sich erneut, wie bereits im Haftentlassungsverfahren, die Frage, ob das Obergericht die vom Beschwerdeführer angerufenen und eingereichten Privatgutachten ausreichend gewürdigt und seinen Haftentscheid genügend begründet und damit den Anspruch auf rechtliches Gehör des Beschwerdeführers beachtet hat. Der angefochtene Entscheid enthält im Wesentlichen eine einseitige, im Vergleich zur im Haftentlassungsentscheid angefochtenen Verfügung noch kürzere Begründung, mit dem das Obergericht hauptsächlich auf die frühere Präsidialverfügung verweist. Da diese vom Bundesgericht als nicht ausreichend begründet beurteilt worden ist, enthält jedoch auch die hier angefochtene Präsidialverfügung zwangsläufig keine genügende Begründung. Dass heute die Haftbedingungen vorerst noch immer zulässig wären, erscheint zwar nicht ausgeschlossen, müsste aber vertiefter begründet werden und lässt sich nicht damit rechtfertigen, es habe keine wesentlichen, für den Beschwerdeführer nachteiligen Änderungen im Haftregime gegeben. Zu prüfen wäre vielmehr, weshalb es sich rechtfertigen liesse, dass in der Zwischenzeit keine für ihn vorteilhaften Erleichterungen vorgenommen worden sind. Überdies wäre zu erwarten, dass die Vollzugsbehörden inzwischen grundsätzliche Überlegungen zum Haftvollzug angestellt haben und zumindest ein Konzept vorlegen könnten, wie sich die Lockerung der Haftbedingungen angehen liesse. Eine solche Perspektive, für deren Umsetzung es auch zureichende realistische Hinweise gäbe, könnte die Haftverlängerung allenfalls selbst dann als zulässig erscheinen lassen, wenn das Haftregime nicht unverzüglich, sondern erst künftig, aber doch innert vernünftiger Frist angepasst würde. Das Obergericht hätte zumindest prüfen müssen, ob eine solche Perspektive vorliegt bzw. sich ausreichend abzeichnet.</w:t>
      </w:r>
    </w:p>
    <w:p>
      <w:r>
        <w:rPr>
          <w:b/>
        </w:rPr>
        <w:t>E. 3.2</w:t>
      </w:r>
    </w:p>
    <w:p>
      <w:r>
        <w:t>Auch was die beiden Privatgutachten betrifft, hat das Bundesgericht bereits im Haftentlassungsentscheid festgehalten, es liege ein Verfahrensmangel vor. Solche Privatgutachten sind nach den von der Rechtsprechung aufgestellten Richtlinien für die Beweiswürdigung zu berücksichtigen (vgl. etwa BGE 125 V 351 E. 3c S. 354; Urteil des Bundesgerichts 8C_28/2021 vom 9. April 2021 E. 4.2), was das Obergericht nicht ausreichend getan hat. Auch insofern erweist sich der Verweis auf die frühere Präsidialverfügung im angefochtenen Entscheid als untauglich. Der frühere Verfahrensmangel schlägt in diesem Sinne auf die angefochtene Verfügung durch.</w:t>
      </w:r>
    </w:p>
    <w:p>
      <w:r>
        <w:rPr>
          <w:b/>
        </w:rPr>
        <w:t>E. 3.3</w:t>
      </w:r>
    </w:p>
    <w:p>
      <w:r>
        <w:t>Aufgrund der festgestellten formellen Unzulänglichkeiten ist der angefochtene Entscheid aufzuheben. Das heisst aber noch nicht, dass er auch inhaltlich bundesrechtswidrig ist. Wegen der formellen Natur des Gehörsanspruchs ist darüber hier nicht zu entscheiden. Es ist nicht Sache des Bundesgerichts, an die Stelle der als erstinstanzlicher Haftrichter handelnden Verfahrensleitung des Obergerichts zu treten, deren Verfahrensmängel zu korrigieren und dabei namentlich die angebotenen Beweismittel angemessen zu würdigen und den Haftentscheid ausreichend zu begründen. Vielmehr ist die Angelegenheit dafür an die Vorinstanz zurückzuweisen. Damit kann im jetzigen Zeitpunkt auch nicht über eine sofortige Haftentlassung entschieden werden bzw. ist das entsprechende Gesuch abzuweisen.</w:t>
      </w:r>
    </w:p>
    <w:p>
      <w:r>
        <w:rPr>
          <w:b/>
        </w:rPr>
        <w:t>E. 4</w:t>
      </w:r>
    </w:p>
    <w:p>
      <w:r>
        <w:t>Demnach ist die Beschwerde teilweise gutzuheissen. Der angefochtene Entscheid ist aufzuheben. Die Sache geht zurück an das Obergericht zu neuem Entscheid im Sinne der Erwägungen. Das Gesuch um sofortige Haftentlassung ist abzuweisen. Bei diesem Verfahrensausgang obsiegt der Beschwerdeführer teilweise. Insoweit wird das Gesuch um unentgeltliche Rechtspflege und Verbeiständung mit seinem Rechtsvertreter gegenstandslos. Im Übrigen ist es zu bewilligen (vgl. Art. 64 BGG ). Unter diesen Umständen sind für das bundesgerichtliche Verfahren keine Kosten zu erheben ( Art. 64 Abs. 1 und Art. 66 Abs. 4 BGG ). Der Kanton Zürich hat dem Beschwerdeführer eine reduzierte Parteientschädigung zu entrichten (vgl. Art. 68 BGG ). Im Übrigen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