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398/2013 vom 22. Januar 2014</w:t>
      </w:r>
    </w:p>
    <w:p>
      <w:r>
        <w:t>Bundesgericht, 2014-01-22, DE</w:t>
      </w:r>
    </w:p>
    <w:p>
      <w:r>
        <w:rPr>
          <w:b/>
        </w:rPr>
        <w:t xml:space="preserve">Quelle: </w:t>
      </w:r>
      <w:r>
        <w:t>https://mcp.opencaselaw.ch/entscheid/bger_1B_398_2013</w:t>
      </w:r>
    </w:p>
    <w:p>
      <w:r>
        <w:t>FR: TF 1B 398/2013 du 22 janvier 2014</w:t>
      </w:r>
    </w:p>
    <w:p>
      <w:r>
        <w:t>IT: TF 1B 398/2013 del 22 gennaio 2014</w:t>
      </w:r>
    </w:p>
    <w:p>
      <w:pPr>
        <w:pStyle w:val="Heading2"/>
      </w:pPr>
      <w:r>
        <w:t>Regeste</w:t>
      </w:r>
    </w:p>
    <w:p>
      <w:r>
        <w:t>Wechsel der amtlichen Verteidigung | Strafprozess</w:t>
      </w:r>
    </w:p>
    <w:p>
      <w:pPr>
        <w:pStyle w:val="Heading2"/>
      </w:pPr>
      <w:r>
        <w:t>Erwägungen</w:t>
      </w:r>
    </w:p>
    <w:p>
      <w:r>
        <w:rPr>
          <w:b/>
        </w:rPr>
        <w:t>E. 1</w:t>
      </w:r>
    </w:p>
    <w:p>
      <w:r>
        <w:t>Beim angefochtenen Entscheid handelt es sich um einen (letztinstanzlichen kantonalen) verfahrensleitenden Zwischenentscheid in Strafsachen betreffend Nichtauswechslung des amtlichen Verteidigers. Zu prüfen ist, ob die Eintretensvoraussetzungen (von Art. 78 Abs. 1 und Art. 80 Abs. 1 i.V.m. Art. 93 Abs. 1 lit. a BGG ) erfüllt sind.</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Der blosse Umstand, dass es sich bei der aktuellen amtlichen Verteidigung nicht (oder nicht mehr) um den Wunsch- bzw. Vertrauensanwalt eines Beschuldigten handelt, schliesst eine wirksame und ausreichende Verteidigung nicht aus. Die Ablehnung eines Gesuches des Beschuldigten um Auswechslung des Offizialverteidigers begründet daher grundsätzlich noch keinen nicht wieder gutzumachenden Rechtsnachteil im Sinne des Gesetzes ( BGE 139 IV 113 E. 1.1 S. 115 f. mit Hinweisen). Anders liegt der Fall, wenn der amtliche Verteidiger seine Pflichten erheblich vernachlässigt (vgl. BGE 120 Ia 48 E. 2 S. 50 ff.), wenn die Strafjustizbehörden gegen den Willen des Beschuldigten und seines Offizialverteidigers dessen Abberufung anordnen ( BGE 133 IV 335 E. 4 S. 339), wenn sie dem Beschuldigten verweigern, sich (zusätzlich zur amtlichen Verteidigung) auch noch durch einen Privatverteidiger vertreten zu lassen ( BGE 135 I 261 E. 1.2-1.4 S. 264 f.), oder wenn sie sein gesetzliches Vorschlagsrecht bezüglich der Person des amtlichen Verteidigers missachten ( BGE 139 IV 113 E. 1.2-5 S. 116-121).</w:t>
      </w:r>
    </w:p>
    <w:p>
      <w:r>
        <w:rPr>
          <w:b/>
        </w:rPr>
        <w:t>E. 1.2</w:t>
      </w:r>
    </w:p>
    <w:p>
      <w:r>
        <w:t>Der Beschwerdeführer beanstandet, der amtliche Verteidiger habe seine Pflichten vernachlässigt und er sei nicht ausreichend verteidigt. Damit ist die Sachurteilsvoraussetzung von Art. 93 Abs. 1 lit. a BGG grundsätzlich erfüllt. Die übrigen Eintretenserfordernisse von Art. 78 ff. BGG geben zu keinen weiteren Vorbemerkungen Anlass.</w:t>
      </w:r>
    </w:p>
    <w:p>
      <w:r>
        <w:rPr>
          <w:b/>
        </w:rPr>
        <w:t>E. 2</w:t>
      </w:r>
    </w:p>
    <w:p>
      <w:r>
        <w:t>Der Beschwerdeführer macht geltend, weder seine frühere Offizialverteidigerin noch der jetzige amtliche Rechtsvertreter hätten seine Standpunkte akzeptiert bzw. die von ihm gewünschte Prozessstrategie verfolgt. Sie hätten von ihm verlangte Beweisanträge nicht gestellt und ihre Pflichten vernachlässigt. Deshalb habe er kein Vertrauen in sie gewonnen und in der Folge die Zusammenarbeit mit ihnen verweigert.</w:t>
      </w:r>
    </w:p>
    <w:p>
      <w:r>
        <w:rPr>
          <w:b/>
        </w:rPr>
        <w:t>E. 2.1</w:t>
      </w:r>
    </w:p>
    <w:p>
      <w:r>
        <w:t>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In den Grenzen einer sorgfältigen und effizienten Ausübung des Offizialmandates ist die Wahl der Verteidigungsstrategie grundsätzlich Aufgabe des amtlichen Verteidigers. Zwar hat er die objektiven Interessen des Beschuldigten möglichst im gegenseitigen Einvernehmen und in Absprache mit diesem zu wahren. Der Offizialverteidiger agiert jedoch im Strafprozess nicht als blosses unkritisches "Sprachrohr" seines Klienten. Insbesondere liegt es im pflichtgemässen Ermessen des amtlichen Verteidigers zu entscheiden, welche Prozessvorkehren und juristischen Standpunkte er (im Zweifelsfall) als sachgerecht und geboten erachtet (vgl. BGE 126 I 26 E. 4b/aa S. 30, 194 E. 3d S. 199; 116 Ia 102 E. 4b/bb S. 105; Urteile 1B_110/2013 vom 22. Juli 2013 E. 4.3; 1B_197/2011 vom 14. Juli 2011 E. 1.4; 1B_67/2009 vom 14. Juli 2009 E. 2.2-2.3).</w:t>
      </w:r>
    </w:p>
    <w:p>
      <w:r>
        <w:rPr>
          <w:b/>
        </w:rPr>
        <w:t>E. 2.2</w:t>
      </w:r>
    </w:p>
    <w:p>
      <w:r>
        <w:t>Für die Behauptungen des Beschwerdeführers, er sei von seinen beiden amtlichen Verteidigern unter Druck gesetzt worden, die Unwahrheit zu sagen bzw. die Existenz eines falschen (nicht existierenden) Zeugen zu bestätigen, oder sie hätten Dokumente falsch übersetzt, fehlt es an nachvollziehbaren Anhaltspunkten. Die betreffenden pauschalen Vorwürfe sind nicht substanziiert (vgl. Art. 42 Abs. 2 Satz 1 BGG ). Darin, dass der amtliche Verteidiger (gestützt auf entsprechende psychiatrische Gutachten) die persönlichen Ansichten des Beschuldigten zu dessen psychischem Gesundheitszustand nicht teile, liegt keine Pflichtversäumnis. Ebenso wenig wäre es dem Offizialverteidiger anzulasten, falls die Adresse eines vom Beschuldigten genannten Entlastungszeugen (trotz entsprechenden Bemühungen) nicht eruierbar ist. Soweit weitere Vorwürfe ausschliesslich die frühere Offizialverteidigerin betreffen (deren Abberufung der Beschwerdeführer bereits erwirkt hat), bildet das frühere amtliche Mandat nicht mehr Gegenstand des angefochtenen Entscheides.</w:t>
      </w:r>
    </w:p>
    <w:p>
      <w:r>
        <w:rPr>
          <w:b/>
        </w:rPr>
        <w:t>E. 2.3</w:t>
      </w:r>
    </w:p>
    <w:p>
      <w:r>
        <w:t>Aus seiner Weigerung, mit der Offizialverteidigung sachgerecht zu kooperieren, ergibt sich kein grundrechtlicher oder bundesgesetzlicher Anspruch des Beschuldigten auf Auswechslung des Verteidigers (vgl. BGE 126 I 26 E. 4b/aa S. 30, 194 E. 3d S. 199; 120 Ia 48 E. 2 S. 50 ff.; 116 Ia 102 E. 4b/bb S. 105; Urteile 1B_110/2013 vom 22. Juli 2013 E. 5.2.1; 1B_197/2011 vom 14. Juli 2011 E. 1.7; 1B_67/2009 vom 14. Juli 2009 E. 2.2-2.3). Dies muss besonders im vorliegenden Fall gelten, zumal der Beschwerdeführer einräumt, bereits im März 2013 die Abberufung seiner damaligen amtlichen Verteidigerin erwirkt zu haben. Anders zu entscheiden hiesse, dass der Beschuldigte durch ständige Obstruktion und anschliessende Gesuche um Auswechslung der Offizialverteidigung das Strafverfahren in rechtsmissbräuchlicher Weise komplizieren und verlängern könnte. Dem Beschwerdeführer steht auch kein Anspruch auf (ersatzlose) Abbestellung des amtlichen Verteidigers zu, weil er es (im Eventualstandpunkt) vorzöge, sich alleine zu verteidigen. Vielmehr schreibt das Gesetz bei einer Anklage wegen vorsätzlicher Tötung (evtl. Mord) die notwendige Verteidigung durch einen Rechtsanwalt oder eine Anwältin zwingend vor ( Art. 130 lit. b StPO i.V.m. Art. 111 f. StGB).</w:t>
      </w:r>
    </w:p>
    <w:p>
      <w:r>
        <w:rPr>
          <w:b/>
        </w:rPr>
        <w:t>E. 2.4</w:t>
      </w:r>
    </w:p>
    <w:p>
      <w:r>
        <w:t>Im vorliegenden Fall sind keine Anhaltspunkte ersichtlich, weshalb das Vertrauensverhältnis zwischen dem Beschwerdeführer und seinem Offizialverteidiger aus objektiven Gründen als erheblich gestört anzusehen wäre. Auch sonst wird hier weder dargetan, noch ergibt es sich aus den Akten, dass eine wirksame Verteidigung nicht gewährleistet wäre. Die übrigen Vorbringen des Beschwerdeführers begründen keine substanziierten Rügen, die sich auf den Gegenstand und die Erwägungen des angefochtenen Entscheides beziehen würden. Darauf ist nicht einzutreten.</w:t>
      </w:r>
    </w:p>
    <w:p>
      <w:r>
        <w:rPr>
          <w:b/>
        </w:rPr>
        <w:t>E. 3</w:t>
      </w:r>
    </w:p>
    <w:p>
      <w:r>
        <w:t>Die Beschwerde ist abzuweisen, soweit darauf eingetreten werden kann. Im vorliegenden Fall kann von der Erhebung von Gerichtskosten ausnahmsweise abgesehen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