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397/2018 vom 16. Oktober 2018</w:t>
      </w:r>
    </w:p>
    <w:p>
      <w:r>
        <w:t>Bundesgericht, 2018-10-16, DE</w:t>
      </w:r>
    </w:p>
    <w:p>
      <w:r>
        <w:rPr>
          <w:b/>
        </w:rPr>
        <w:t xml:space="preserve">Quelle: </w:t>
      </w:r>
      <w:r>
        <w:t>https://mcp.opencaselaw.ch/entscheid/bger_1B_397_2018</w:t>
      </w:r>
    </w:p>
    <w:p>
      <w:r>
        <w:t>FR: TF 1B 397/2018 du 16 octobre 2018</w:t>
      </w:r>
    </w:p>
    <w:p>
      <w:r>
        <w:t>IT: TF 1B 397/2018 del 16 ottobre 2018</w:t>
      </w:r>
    </w:p>
    <w:p>
      <w:pPr>
        <w:pStyle w:val="Heading2"/>
      </w:pPr>
      <w:r>
        <w:t>Regeste</w:t>
      </w:r>
    </w:p>
    <w:p>
      <w:r>
        <w:t>Strafverfahren; Wechsel der amtlichen Verteidigung | Strafprozess</w:t>
      </w:r>
    </w:p>
    <w:p>
      <w:pPr>
        <w:pStyle w:val="Heading2"/>
      </w:pPr>
      <w:r>
        <w:t>Erwägungen</w:t>
      </w:r>
    </w:p>
    <w:p>
      <w:r>
        <w:rPr>
          <w:b/>
        </w:rPr>
        <w:t>E. 1.1</w:t>
      </w:r>
    </w:p>
    <w:p>
      <w:r>
        <w:t>Bei der angefochtenen Verfügung handelt es sich um einen kantonal letztinstanzlichen Zwischenentscheid in Strafsachen ( Art. 78, 80 und 93 BGG ). 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 1B_297/2015 vom 26. Oktober 2015 E. 1.2; je mit Hinweisen). Der Beschwerdeführer hat dargelegt, weshalb nach seiner Auffassung das Vertrauensverhältnis zerrüttet ist. Damit ist die Sachurteilsvoraussetzung von Art. 93 Abs. 1 lit. a BGG erfüllt. Das aktuelle Rechtsschutzinteresse des Beschwerdeführers ist gegeben. Auf die Beschwerde kann unter Vorbehalt der folgenden Erwägungen eingetreten werden.</w:t>
      </w:r>
    </w:p>
    <w:p>
      <w:r>
        <w:rPr>
          <w:b/>
        </w:rPr>
        <w:t>E. 1.2</w:t>
      </w:r>
    </w:p>
    <w:p>
      <w:r>
        <w:t>Nicht einzutreten ist auf die Beschwerde allerdings insoweit, als sie über das Prozessthema hinausgeht und damit nicht geeignet ist aufzuzeigen, inwiefern der angefochtene Entscheid Recht verletzt ( Art. 42 Abs. 2 BGG ). Dies betrifft insbesondere die nicht substanziierte Kritik des Beschwerdeführers am Verhalten der Strafverfolgungsbehörden im Untersuchungsverfahren. Mit dem beantragten Wechsel der amtlichen Verteidigung hat dies nichts zu tun. Gleiches gilt soweit der Beschwerdeführer ohne substanziierte Bezugnahme auf den angefochtenen Entscheid auf zahlreiche Bestimmungen und Rechtsgrundlagen verweist und diese allgemein, gleichsam lehrbuchmässig abhandelt, ohne darzulegen, inwieweit diese Ausführungen für das vorliegende Verfahren massgeblich sind. Insoweit liegt keine sachbezogene Beschwerdebegründung vor.</w:t>
      </w:r>
    </w:p>
    <w:p>
      <w:r>
        <w:rPr>
          <w:b/>
        </w:rPr>
        <w:t>E. 2.1</w:t>
      </w:r>
    </w:p>
    <w:p>
      <w:r>
        <w:t>Der Beschwerdeführer macht geltend, die angefochtene Verfügung verletze Art. 134 Abs. 2 StPO , weil die Vorinstanz zu Unrecht davon ausgegangen sei, dass kein Grund für einen Wechsel der amtlichen Verteidigung vorliege.</w:t>
      </w:r>
    </w:p>
    <w:p>
      <w:r>
        <w:rPr>
          <w:b/>
        </w:rPr>
        <w:t>E. 2.2</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 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 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 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 (zum Ganzen: Urteil 1B_319/2015 vom 26. November 2015 E. 2.2 mit Hinweisen).</w:t>
      </w:r>
    </w:p>
    <w:p>
      <w:r>
        <w:rPr>
          <w:b/>
        </w:rPr>
        <w:t>E. 2.3</w:t>
      </w:r>
    </w:p>
    <w:p>
      <w:r>
        <w:t>Die Vorinstanz hat zusammenfassend ausgeführt, unterschiedliche Auffassungen über die Verteidigungsstrategie, wie sie vom Verteidiger des Beschwerdeführers als Grund für den behaupteten Vertrauensverlust angeführt würden, bildeten keinen Grund für einen Anwaltswechsel. Der Beschwerdeführer seinerseits tue nicht ansatzweise dar, dass und inwieweit der Verteidiger mit der von ihm behaupteten Unterlassung von Verteidigungsleistungen die anwaltliche Sorgfaltspflicht und das Gebot wirksamer Verteidigung verletzt haben könnte. Auch sei nicht ersichtlich, dass und warum Gefängnisbesuche bzw. lnstruktionsgespräche in den letzten Monaten wirklich angezeigt gewesen wären. Daher könne nicht gesagt werden, dieser allgemeine, bezüglich der Umstände nicht substanziierte Vorwurf indiziere unter den spezifischen Verhältnissen des Einzelfalls tatsächlich eine Gefährdung der wirksamen Verteidigung. Konkrete, objektive Anhaltspunkte für den geltend gemachten erheblichen Vertrauensverlust seien nicht glaubhaft gemacht. Zudem sei bei umfangreichen oder komplexen Straffällen und nach längerer Ausübung des Mandats ein Wechsel der amtlichen Verteidigung nur mit Zurückhaltung zu bewilligen. Dies gelte insbesondere dann, wenn - wie hier - bereits früher ein Verteidigerwechsel bewilligt worden sei.</w:t>
      </w:r>
    </w:p>
    <w:p>
      <w:r>
        <w:rPr>
          <w:b/>
        </w:rPr>
        <w:t>E. 2.4</w:t>
      </w:r>
    </w:p>
    <w:p>
      <w:r>
        <w:t>Die Ausführungen der Vorinstanz verletzen kein Bundesrecht. Der Beschwerdeführer setzt sich in seiner Beschwerde an das Bundesgericht mit der vorinstanzlichen Entscheidbegründung nicht substanziiert auseinander. Vielmehr wiederholt er im Wesentlichen seine bereits im vorinstanzlichen Verfahren erhobenen Vorbringen, wonach der Verteidiger ihn seit Monaten nicht mehr im Gefängnis besucht und keine eigenen Verteidigungsleistungen erbracht habe. Er legt jedoch auch im bundesgerichtlichen Verfahren nicht dar, dass und inwieweit in den letzten Monaten gewisse Verteidigungsleistungen für eine wirksame Verteidigung tatsächlich notwendig gewesen wären. Konkrete Pflichtverletzungen lastet er dem amtlichen Verteidiger nicht an. Solche sind auch nicht ersichtlich. Dass der Beschwerdeführer abweichende Vorstellungen über die Verteidigungsstrategie hat und seinen Verteidiger deshalb als nicht mehr geeignet ansieht, reicht für einen Wechsel der amtlichen Verteidigung nicht aus (vgl. Urteil 1B_319/2015 vom 26. November 2015 E. 2.5; siehe auch die Ausführungen unter E. 2.2 hievor). Auch soweit Rechtsanwalt Thomas Heeb in seiner Stellungnahme im bundesgerichtlichen Verfahren geltend macht, das Vertrauensverhältnis zwischen ihm und dem Beschwerdeführer sei zerrüttet, führt das zu keiner abweichenden Beurteilung. Der Wechsel des amtlichen Verteidigers setzt konkrete und objektive Hinweise voraus, die in nachvollziehbarer Weise für eine erhebliche Störung des Vertrauensverhältnisses sprechen. Solche Hinweise fehlen im zu beurteilenden Fall (vgl. auch Urteil 1B_127/2015 vom 8. Juni 2015 E. 2.3). Unter diesen Voraussetzungen ist ein (erneuter) Wechsel der amtlichen Verteidigung nicht geboten. Es ist dem Beschwerdeführer zuzumuten, sich von seinem gegenwärtigen amtlichen Verteidiger weiter vertreten zu lassen und zu einer konstruktiven Zusammenarbeit das Seine beizutragen.</w:t>
      </w:r>
    </w:p>
    <w:p>
      <w:r>
        <w:rPr>
          <w:b/>
        </w:rPr>
        <w:t>E. 3</w:t>
      </w:r>
    </w:p>
    <w:p>
      <w:r>
        <w:t>Die Beschwerde ist deshalb abzuweisen, soweit darauf eingetreten werden kann. Da die Beschwerde aussichtslos war, ist das Gesuch um unentgeltliche Rechtspflege abzuweisen ( Art. 64 BGG ). Unter den gegebenen Umständen rechtfertigt es sich jedoch, auf die Erhebung von Gerichtskosten zu verzichten ( Art. 66 Abs. 1 Satz 2 BGG ). F ür das bundesgerichtliche Verfahren sind keine 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