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1B_394/2016 vom 25. April 2017</w:t>
      </w:r>
    </w:p>
    <w:p>
      <w:r>
        <w:t>Bundesgericht, 2017-04-25, FR</w:t>
      </w:r>
    </w:p>
    <w:p>
      <w:r>
        <w:rPr>
          <w:b/>
        </w:rPr>
        <w:t xml:space="preserve">Quelle: </w:t>
      </w:r>
      <w:r>
        <w:t>https://mcp.opencaselaw.ch/entscheid/bger_1B_394_2016</w:t>
      </w:r>
    </w:p>
    <w:p>
      <w:r>
        <w:t>FR: TF 1B_394/2016 du 25 avril 2017</w:t>
      </w:r>
    </w:p>
    <w:p>
      <w:r>
        <w:t>IT: TF 1B_394/2016 del 25 aprile 2017</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 1B_369/2013 du 26 février 2014 consid. 1, non publié in ATF 140 I 125 ).</w:t>
      </w:r>
    </w:p>
    <w:p>
      <w:r>
        <w:t>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 En tant qu'il a vu rejetées ses conclusions en constatation du caractère irrégulier de sa détention, le recourant a intérêt à l'annulation de l'arrêt attaqué.</w:t>
      </w:r>
    </w:p>
    <w:p>
      <w:r>
        <w:t>Les autres conditions de recevabilité sont remplies, de sorte qu'il convient d'entrer en matière.</w:t>
      </w:r>
    </w:p>
    <w:p>
      <w:r>
        <w:rPr>
          <w:b/>
        </w:rPr>
        <w:t>E. 2</w:t>
      </w:r>
    </w:p>
    <w:p>
      <w:r>
        <w:t>de surface individuelle nette avec cinq codétenus; cette durée dépasse les trois mois consécutifs apparaissant comme la limite au-delà de laquelle les conditions de détention susmentionnées ne peuvent plus être tolérées ( ATF 140 I 125 consid. 3.6.3 p. 138).</w:t>
      </w:r>
    </w:p>
    <w:p>
      <w:r>
        <w:t>Le recourant a cependant passé du temps hors de la cellule: il a travaillé à la cuisine durant cette période à raison de 3 heures par jour pendant 7 jours (semaine 1) puis de 5 heures 45 par jour pendant 7 jour (semaine 2); s'ajoutent à cela une heure de promenade quotidienne, une heure de sport hebdomadaire dans la grande salle et un accès étendu aux activités sportives de l'unité Est, soit deux ou trois heures par semaine.</w:t>
      </w:r>
    </w:p>
    <w:p>
      <w:r>
        <w:t>Le fait de passer durant 114 jours 7 heures 15 en moyenne (5 heures 45 de travail en cuisine, 1 heure de promenade et 30 minutes en moyenne de sport par jour), puis en alternance la semaine suivante 4 heures 30 en moyenne hors de la cellule (3 heures de travail en cuisine, 1 heure de promenade et 30 minutes en moyenne de sport par jour) réduit de manière significative le confinement en cellule et permet de considérer que la détention dans de telles conditions ne constitue pas un traitement dégradant portant atteinte à la dignité humaine. S'ajoute à cela que les détenus partageant sa cellule sont absents quotidiennement pendant plusieurs heures de la cellule, à des moments différents, ce qui allège encore quelque peu les conditions de détention. Par ailleurs, le recourant ne conteste pas qu'en termes d'hygiène, d'aération, de visites, d'installations sanitaires, de régime alimentaire, d'éclairage, de chauffage et d'accès aux soins, les conditions de détention étaient convenables.</w:t>
      </w:r>
    </w:p>
    <w:p>
      <w:r>
        <w:t>Enfin, il ne faut pas perdre de vue que la période litigieuse - d'un peu moins de quatre mois - est largement inférieure à celle - de plus de vingt mois - de l'affaire dont se prévaut le recourant (arrêt 1B_84/2016 précité).</w:t>
      </w:r>
    </w:p>
    <w:p>
      <w:r>
        <w:rPr>
          <w:b/>
        </w:rPr>
        <w:t>E. 2.1</w:t>
      </w:r>
    </w:p>
    <w:p>
      <w:r>
        <w:t>Le recourant reproche d'abord à la cour cantonale d'avoir retenu que la surface individuelle nette dont il disposait dans sa cellule entre le 25 juillet et le 16 novembre 2015 était de 4,11 m</w:t>
      </w:r>
    </w:p>
    <w:p>
      <w:r>
        <w:rPr>
          <w:b/>
        </w:rPr>
        <w:t>E. 2.1.1</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CPT). Le 15 décembre 2015, le CPT a édité une norme sur l'Espace vital par détenu dans les établissements pénitentiaires. Il en ressort que la norme minimale concernant l'espace vital devrait exclure les sanitaires qui se trouvent à l'intérieur d'une cellule. Ainsi, une cellule individuelle devrait mesurer 6 m² auxquels on ajouterait la superficie nécessaire à une annexe sanitaire (généralement d'1 à 2 m²). De même, l'espace occupé par l'annexe sanitaire devrait être exclu du calcul des 4 m² par personne dans les cellules collectives. De plus, l'annexe sanitaire de ces dernières devrait être entièrement cloisonnée.</w:t>
      </w:r>
    </w:p>
    <w:p>
      <w:r>
        <w:t>Selon la jurisprudence, lors du calcul de la surface individuelle à disposition de chaque détenu, la surface des installations sanitaires doit être retranchée ( ATF 140 I 125 consid. 3.6.3 p. 138 s.</w:t>
      </w:r>
    </w:p>
    <w:p>
      <w:r>
        <w:t>in fine ; arrêt 1B_70/2016 du 24 juin 2016 consid. 3.3 et 3.4).</w:t>
      </w:r>
    </w:p>
    <w:p>
      <w:r>
        <w:rPr>
          <w:b/>
        </w:rPr>
        <w:t>E. 2.1.2</w:t>
      </w:r>
    </w:p>
    <w:p>
      <w:r>
        <w:t>En l'espèce, la cour cantonale a considéré que le recourant disposait d'une surface individuelle nette de 4,11 m</w:t>
      </w:r>
    </w:p>
    <w:p>
      <w:r>
        <w:rPr>
          <w:b/>
        </w:rPr>
        <w:t>E. 2.2</w:t>
      </w:r>
    </w:p>
    <w:p>
      <w:r>
        <w:t>Le recourant reproche ensuite à l'instance précédente d'avoir considéré que, comme les codétenus étaient occupés hors de la cellule plusieurs heures par jour à des horaires différents, la surface individuelle nette des occupants effectifs était augmentée d'autant. Il se plaint d'une violation des art. 3 CEDH , 7 et 10 Cst. et 3 al. 1 CPP.</w:t>
      </w:r>
    </w:p>
    <w:p>
      <w:r>
        <w:rPr>
          <w:b/>
        </w:rPr>
        <w:t>E. 2.2.1</w:t>
      </w:r>
    </w:p>
    <w:p>
      <w:r>
        <w:t>Le Tribunal fédéral a jugé qu'en cas de surpopulation carcérale telle que la connaît la prison de Champ-Dollon, l'occupation d'une cellule dite individuelle par trois détenus - chacun disposant d'un espace individuel de 4 m</w:t>
      </w:r>
    </w:p>
    <w:p>
      <w:r>
        <w:rPr>
          <w:b/>
        </w:rPr>
        <w:t>E. 2.3</w:t>
      </w:r>
    </w:p>
    <w:p>
      <w:r>
        <w:t>La Cour de justice a retenu que les 114 jours litigieux représentaient seulement 22 % de la peine prononcée à l'encontre du recourant par le Tribunal correctionnel. Elle a ajouté que, durant la période litigieuse, tous les codétenus étaient occupés en ateliers et hors de la cellule entre 3 et 5 heures 45 par jour alternativement une semaine sur deux, l'un des codétenus étant absent 5 heures par jour sur 5 jours. Elle a considéré que n'ayant pas tous les mêmes horaires de travail, les codétenus n'étaient ni toujours ensemble en cellule, ni toujours absents en même temps. Elle en a déduit qu'il existait un "tournus" quant au nombre de détenus présents dans la cellule concernée et qu'en l'absence de l'un ou de plusieurs d'entre eux, la surface nette individuelle des occupants effectifs était augmentée d'autant, soit supérieure à 4 m</w:t>
      </w:r>
    </w:p>
    <w:p>
      <w:r>
        <w:rPr>
          <w:b/>
        </w:rPr>
        <w:t>E. 2.4</w:t>
      </w:r>
    </w:p>
    <w:p>
      <w:r>
        <w:t>La question litigieuse est celle de savoir si la possibilité de sortir de la cellule pendant 3 heures ou 5 heures 45 par jour - cumulée au fait que les codétenus sont aussi absents pendant plusieurs heures de la cellule à des moments différents - est un facteur qui permet d'améliorer suffisamment les conditions de détention au point de les rendre conformes à la dignité humaine.</w:t>
      </w:r>
    </w:p>
    <w:p>
      <w:r>
        <w:t>Il y a lieu de procéder à l'appréciation globale des conditions de détention du recourant. Celui-ci a passé une période de 114 jours sans interruption dans une cellule de moins de 4 m</w:t>
      </w:r>
    </w:p>
    <w:p>
      <w:r>
        <w:rPr>
          <w:b/>
        </w:rPr>
        <w:t>E. 2.5</w:t>
      </w:r>
    </w:p>
    <w:p>
      <w:r>
        <w:t>En définitive, il découle de ce qui précède que, pour la période allant du 25 juillet au 16 novembre 2015, la cour cantonale pouvait considérer, sans violer le droit fédéral, que les conditions d'incarcération du recourant, pour difficiles qu'elles aient été, respectaient les exigences constitutionnelles et étaient conformes à l' art. 3 CEDH .</w:t>
      </w:r>
    </w:p>
    <w:p>
      <w:r>
        <w:rPr>
          <w:b/>
        </w:rPr>
        <w:t>E. 3</w:t>
      </w:r>
    </w:p>
    <w:p>
      <w:r>
        <w:t>Il s'ensuit que le recours est rejeté.</w:t>
      </w:r>
    </w:p>
    <w:p>
      <w:r>
        <w:t>Le recourant a demandé l'assistance judiciaire et les conditions en paraissent réunies ( art. 64 al. 1 LTF ). Il y a lieu de désigner Me Robert Assaël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