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1B_394/2010 vom 29. Januar 2011</w:t>
      </w:r>
    </w:p>
    <w:p>
      <w:r>
        <w:t>Bundesgericht, 2011-01-29, DE</w:t>
      </w:r>
    </w:p>
    <w:p>
      <w:r>
        <w:rPr>
          <w:b/>
        </w:rPr>
        <w:t xml:space="preserve">Quelle: </w:t>
      </w:r>
      <w:r>
        <w:t>https://mcp.opencaselaw.ch/entscheid/bger_1B_394_2010</w:t>
      </w:r>
    </w:p>
    <w:p>
      <w:r>
        <w:t>FR: TF 1B_394/2010 du 29 janvier 2011</w:t>
      </w:r>
    </w:p>
    <w:p>
      <w:r>
        <w:t>IT: TF 1B_394/2010 del 29 gennaio 2011</w:t>
      </w:r>
    </w:p>
    <w:p>
      <w:pPr>
        <w:pStyle w:val="Heading2"/>
      </w:pPr>
      <w:r>
        <w:t>Erwägungen</w:t>
      </w:r>
    </w:p>
    <w:p>
      <w:r>
        <w:rPr>
          <w:b/>
        </w:rPr>
        <w:t>E. 1</w:t>
      </w:r>
    </w:p>
    <w:p>
      <w:r>
        <w:t>Mit dem angefochtenen, unter der Herrschaft des Strafprozessgesetzes des Kantons St. Gallen vom 1. Juli 1999 (StPO/SG) ergangenen Entscheid lehnte es der Präsident der Anklagekammer ab, dem Beschwerdeführer im Beschwerdeverfahren gegen die Verweisung des Strafverfahrens auf den Weg des Privatstrafklageverfahrens nach den Art. 294 ff. StPO /SG unentgeltliche Rechtspflege zu gewähren.</w:t>
      </w:r>
    </w:p>
    <w:p>
      <w:r>
        <w:t>Am 1. Januar 2011 trat die Schweizerische Strafprozessordnung vom 5. Oktober 2007 (SR 312.0; StPO) in Kraft (AS 2010 1881), welche die kantonalen Strafprozessordnungen ablöst. Nach deren hier massgebenden Übergangsbestimmungen werden altrechtliche Privatstrafklageverfahren, die im Zeitpunkt des Inkrafttretens der StPO noch nicht bei einem erstinstanzlichen Gericht hängig waren, nach neuem Recht fortgeführt (Art. 448 Abs. 1 i.V.m. Art. 450 StPO e contrario). Dieses sieht keine Privatstrafklageverfahren vor, womit die bis anhin bestehende Möglichkeit, das vom Beschwerdeführer angestrengte Strafverfahren ins Privatstrafklageverfahren zu verweisen, ohne Weiteres entfällt. Dementsprechend sind sowohl das vom Beschwerdeführer im Kanton angehobene Beschwerdeverfahren gegen die Verweisung des Strafverfahrens auf den Weg des Privatstrafklageverfahrens als auch die vorliegende Beschwerde gegen die dabei als Zwischenentscheid ergangene Verweigerung der unentgeltlichen Rechtspflege ohne Weiteres gegenstandslos geworden.</w:t>
      </w:r>
    </w:p>
    <w:p>
      <w:r>
        <w:rPr>
          <w:b/>
        </w:rPr>
        <w:t>E. 2</w:t>
      </w:r>
    </w:p>
    <w:p>
      <w:r>
        <w:t>Die Beschwerde ist somit als gegenstandslos abzuschreiben. Es rechtfertigt sich unter den gegebenen Umständen,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