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1B_393/2014 vom 20. Februar 2015</w:t>
      </w:r>
    </w:p>
    <w:p>
      <w:r>
        <w:t>Bundesgericht, 2015-02-20, DE</w:t>
      </w:r>
    </w:p>
    <w:p>
      <w:r>
        <w:rPr>
          <w:b/>
        </w:rPr>
        <w:t xml:space="preserve">Quelle: </w:t>
      </w:r>
      <w:r>
        <w:t>https://mcp.opencaselaw.ch/entscheid/bger_1B_393_2014</w:t>
      </w:r>
    </w:p>
    <w:p>
      <w:r>
        <w:t>FR: TF 1B_393/2014 du 20 février 2015</w:t>
      </w:r>
    </w:p>
    <w:p>
      <w:r>
        <w:t>IT: TF 1B_393/2014 del 20 febbraio 2015</w:t>
      </w:r>
    </w:p>
    <w:p>
      <w:pPr>
        <w:pStyle w:val="Heading2"/>
      </w:pPr>
      <w:r>
        <w:t>Erwägungen</w:t>
      </w:r>
    </w:p>
    <w:p>
      <w:r>
        <w:rPr>
          <w:b/>
        </w:rPr>
        <w:t>E. 1</w:t>
      </w:r>
    </w:p>
    <w:p>
      <w:r>
        <w:t>Angefochten ist ein Rückweisungsentscheid der Beschwerdekammer des Bundesstrafgerichtes, mit dem eine Beschlagnahmeverfügung der BA aufgehoben und die Sache zur Neubeurteilung an diese zurückgewiesen wurde. Zu prüfen ist, ob die Eintretensvoraussetzungen (von Art. 79 und Art. 80 Abs. 1 i.V.m. Art. 93 Abs. 1 lit. a BGG ) erfüllt sind.</w:t>
      </w:r>
    </w:p>
    <w:p>
      <w:r>
        <w:rPr>
          <w:b/>
        </w:rPr>
        <w:t>E. 1.1</w:t>
      </w:r>
    </w:p>
    <w:p>
      <w:r>
        <w:t>Als oberste rechtsprechende Behörde des Bundes soll sich das Bundesgericht in der Regel nur einmal mit der gleichen Streitsache befassen müssen. Nach ständiger Praxis zu Art. 93 Abs. 1 lit. a BGG ist ein strafprozessualer Zwischenentscheid daher nur ausnahmsweise mit Beschwerde in Strafsachen anfechtbar, sofern ein konkreter rechtlicher Nachteil droht, der auch durch einen (für die rechtsuchende Partei günstigen) Endentscheid nachträglich nicht mehr behoben werden könnte ( BGE 139 IV 113 E. 1 S. 115 mit Hinweis). Blosse Rückweisungsentscheide begründen nur ausnahmsweise einen nicht wieder gutzumachenden Nachteil (vgl. BGE 133 V 477 E. 4.2 S. 481 f., E. 5.2 S. 483 ff., mit Hinweisen). Sofern die Sachurteilsvoraussetzungen nicht ohne Weiteres aus den Akten ersichtlich werden, obliegt es grundsätzlich dem Beschwerdeführer darzulegen, inwiefern sie erfüllt sind (vgl. BGE 133 II 249 E. 1.1 S. 251, 353 E. 1 S. 356).</w:t>
      </w:r>
    </w:p>
    <w:p>
      <w:r>
        <w:rPr>
          <w:b/>
        </w:rPr>
        <w:t>E. 1.2</w:t>
      </w:r>
    </w:p>
    <w:p>
      <w:r>
        <w:t>Der Beschwerdeführer macht geltend, es handle sich vorliegend um einen Entscheid über die Beschlagnahme von Vermögenswerten. Bei streitigen Vermögenssperren liege nach der Praxis des Bundesgerichtes ohne Weiteres ein Nachteil vor im Sinne von Art. 93 Abs. 1 lit. a BGG .</w:t>
      </w:r>
    </w:p>
    <w:p>
      <w:r>
        <w:rPr>
          <w:b/>
        </w:rPr>
        <w:t>E. 1.3</w:t>
      </w:r>
    </w:p>
    <w:p>
      <w:r>
        <w:t>Der Beschwerdeführer verkennt, dass die Vorinstanz gar keinen Beschlagnahmeentscheid gefällt hat, sondern einen Rückweisungsentscheid. Es bleibt ihm unbenommen, gegen den ausstehenden materiellen Zwischenentscheid der BA - nötigenfalls - Beschwerde an das Bundesstrafgericht (und letztinstanzlich bis an das Bundesgericht) zu erheben. Der Beschwerdeführer legt nicht dar, weshalb in einer blossen Neubeurteilung durch die BA ein nicht wieder gutzumachender Rechtsnachteil läge. Dass er mit gewissen materiellen Erwägungen der Beschwerdekammer zu Fragen des Beschlagnahmerechts nicht einverstanden sei, begründet für sich allein keinen Nachteil im Sinne von Art. 93 Abs. 1 lit. a BGG , zumal es ihm frei steht, seinen Rechtsstandpunkt vor den zuständigen erkennenden Instanzen darzulegen. Ebenso wenig läge hier ein faktischer Entscheid der Vorinstanz in der Sache vor, indem der erstinstanzlich verfügenden Behörde (aufgrund der Erwägungen im angefochtenen Rückweisungsentscheid) keinerlei Entscheidungsspielraum mehr zustünde. Das Bundesstrafgericht erwog, dass der Beschwerdeführer "hinsichtlich der Kernfrage der Beschlagnahmbarkeit seines Alterskapitals" zwar unterlegen sei. Von der BA neu zu prüfen seien jedoch insbesondere die Fragen, wie hoch die Verfahrenskosten (im Hinblick auf eine Deckungsbeschlagnahme), die Vermögensschäden (im Hinblick auf eine Ausgleichseinziehung oder eine staatliche Ersatzforderung) und die Erlöse aus zwei bereits beschlagnahmten Liegenschaften ausfallen könnten. Zur Klärung der Frage, inwieweit Einziehungen oder Ersatzforderungen Platz zu greifen haben, sei im Übrigen abzuklären, ob deliktischer Erlös in eine (im Ausland) beschlagnahmte Liegenschaft floss.</w:t>
      </w:r>
    </w:p>
    <w:p>
      <w:r>
        <w:rPr>
          <w:b/>
        </w:rPr>
        <w:t>E. 1.4</w:t>
      </w:r>
    </w:p>
    <w:p>
      <w:r>
        <w:t>Die vom Bundesstrafgericht bejahte Teil-Rechtsfrage der (grundsätzlichen) Beschlagnahmbarkeit von Alterskapital kann der Beschwerdeführer nicht schon jetzt, vor dem Vorliegen des letztinstanzlichen Zwangsmassnahmeentscheides in der Sache, bzw. "abstrakt" zum Gegenstand einer separaten Beschwerde an das Bundesgericht machen ( Art. 80 Abs. 1 BGG ). Darüber hinaus bestreitet er die grundsätzliche Beschlagnahmbarkeit von Pensionskassenguthaben gar nicht (mehr). Vielmehr stellt er sich auf den Standpunkt, die Zwangsmassnahme erscheine im Hinblick auf die mutmassliche Schadenshöhe, die zu erwartenden Verfahrenskosten und bereits (separat) verfügte Grundbuchsperren unverhältnismässig. Diese Fragen wurden im angefochtenen Rückweisungsentscheid ausdrücklich offen gelassen; sie bilden Gegenstand des zurückgewiesenen Verfahrens. Dass die Vermögenssperre bis zur erstinstanzlichen Neubeurteilung durch die BA vorläufig aufrecht erhalten wird, begründet ebenfalls keinen nicht wieder gutzumachenden Rechtsnachteil. Die vorläufige Beschlagnahmung dient der provisorischen Sicherstellung von Vermögen, welches (laut angefochtenem Entscheid) zur Kostendeckung und als Haftungssubstrat für eine staatliche Ersatzforderung herangezogen werden könnte. Der Beschwerdeführer macht auch nicht geltend, dass er auf das gesperrte Vermögen (oder Teile davon) derzeit zwingend angewiesen wäre. Im Übrigen stünde es ihm frei, im Rahmen des zurückgewiesenen Verfahrens (und eines allfälligen Beschwerdeverfahrens, vgl. Art. 387-388 i.V.m. Art. 379 StPO ) die ihm notwendig erscheinenden Rechtsbegehren bzw. Anträge zu seinem vorläufigen Rechtsschutz zu stellen.</w:t>
      </w:r>
    </w:p>
    <w:p>
      <w:r>
        <w:rPr>
          <w:b/>
        </w:rPr>
        <w:t>E. 2</w:t>
      </w:r>
    </w:p>
    <w:p>
      <w:r>
        <w:t>Auf die Beschwerde gegen den angefochtenen Rückweisungsentscheid ist nicht einzutreten.</w:t>
      </w:r>
    </w:p>
    <w:p>
      <w:r>
        <w:t>Dem Ausgang des bundesgerichtlichen Verfahrens entsprechend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