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1B_392/2022 vom 3. August 2022</w:t>
      </w:r>
    </w:p>
    <w:p>
      <w:r>
        <w:t>Bundesgericht, 2022-08-03, DE</w:t>
      </w:r>
    </w:p>
    <w:p>
      <w:r>
        <w:rPr>
          <w:b/>
        </w:rPr>
        <w:t xml:space="preserve">Quelle: </w:t>
      </w:r>
      <w:r>
        <w:t>https://mcp.opencaselaw.ch/entscheid/bger_1B_392_2022</w:t>
      </w:r>
    </w:p>
    <w:p>
      <w:r>
        <w:t>FR: TF 1B_392/2022 du 3 août 2022</w:t>
      </w:r>
    </w:p>
    <w:p>
      <w:r>
        <w:t>IT: TF 1B_392/2022 del 3 agosto 2022</w:t>
      </w:r>
    </w:p>
    <w:p>
      <w:pPr>
        <w:pStyle w:val="Heading2"/>
      </w:pPr>
      <w:r>
        <w:t>Erwägungen</w:t>
      </w:r>
    </w:p>
    <w:p>
      <w:r>
        <w:rPr>
          <w:b/>
        </w:rPr>
        <w:t>E. 1</w:t>
      </w:r>
    </w:p>
    <w:p>
      <w:r>
        <w:t>Im Strafverfahren gegen den von Rechtsanwalt B.________ amtlich verteidigten A.________ hat das Bezirksgericht Zürich mit Verfügung vom 7. Juni 2022 Rechtsanwalt B.________ eine Frist von 10 Tagen angesetzt, um sich zum Gesuch von A.________ um Wechsel des amtlichen Verteidigers zu äussern.</w:t>
      </w:r>
    </w:p>
    <w:p>
      <w:r>
        <w:t>Mit Eingabe vom 26. Juli 2022 reicht A.________ die Verfügung vom 7. Juni 2022 ein. Er macht, soweit verständlich, geltend, dass er im Berufungsverfahren gegen seine Verurteilung wegen Raubes vom 30. Mai 2022 Berufung erhoben und dabei ein Gesuch um Wechsel des amtlichen Anwaltes gestellt habe. Er sei keineswegs psychisch krank, er habe das nur auf Anraten seines Anwaltes gespielt mit dem Resultat, dass eine stationäre Massnahme nach Art. 59 StGB gegen ihn ausgesprochen worden sei. Er sei als starker Raucher auf Nikotinentzug gesetzt worden; unter diesem Druck habe er erklärt, dass er mit dem Urteil vom 30. Mai 2022 einverstanden sei.</w:t>
      </w:r>
    </w:p>
    <w:p>
      <w:r>
        <w:t>Vernehmlassungen wurden keine eingeholt.</w:t>
      </w:r>
    </w:p>
    <w:p>
      <w:r>
        <w:rPr>
          <w:b/>
        </w:rPr>
        <w:t>E. 2</w:t>
      </w:r>
    </w:p>
    <w:p>
      <w:r>
        <w:t>Die vom Beschwerdeführer eingereichte Zwischenverfügung richtet sich nicht an ihn, sondern an seinen amtlichen Verteidiger. Er ist daher nicht befugt, sie anzufechten. Sie ist zudem nicht kantonal letztinstanzlich und stellt auch unter dem Gesichtspunkt von Art. 93 BGG kein taugliches Anfechtungsobjekt dar. Das erstinstanzliche Urteil vom 30. Mai 2022, auf das sich der Beschwerdeführer auch noch bezieht, ist nicht kantonal letztinstanzlich und damit beim Bundesgericht nicht anfechtbar.</w:t>
      </w:r>
    </w:p>
    <w:p>
      <w:r>
        <w:t>Die Beschwerde ist offensichtlich unzulässig, womit darauf im vereinfachten Verfahren nicht einzutreten ist. Auf die Erhebung von Kosten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