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392/2012 vom 28. August 2012</w:t>
      </w:r>
    </w:p>
    <w:p>
      <w:r>
        <w:t>Bundesgericht, 2012-08-28, FR</w:t>
      </w:r>
    </w:p>
    <w:p>
      <w:r>
        <w:rPr>
          <w:b/>
        </w:rPr>
        <w:t xml:space="preserve">Quelle: </w:t>
      </w:r>
      <w:r>
        <w:t>https://mcp.opencaselaw.ch/entscheid/bger_1B_392_2012</w:t>
      </w:r>
    </w:p>
    <w:p>
      <w:r>
        <w:t>FR: TF 1B 392/2012 du 28 août 2012</w:t>
      </w:r>
    </w:p>
    <w:p>
      <w:r>
        <w:t>IT: TF 1B 392/2012 del 28 agosto 2012</w:t>
      </w:r>
    </w:p>
    <w:p>
      <w:pPr>
        <w:pStyle w:val="Heading2"/>
      </w:pPr>
      <w:r>
        <w:t>Regeste</w:t>
      </w:r>
    </w:p>
    <w:p>
      <w:r>
        <w:t>séquestre pénal | Procédure pénale</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w:t>
      </w:r>
    </w:p>
    <w:p>
      <w:r>
        <w:rPr>
          <w:b/>
        </w:rPr>
        <w:t>E. 1.2</w:t>
      </w:r>
    </w:p>
    <w:p>
      <w:r>
        <w:t>En tant que titulaires des comptes séquestrés ayant participé à la procédure devant le TPF, les recourantes ont qualité pour agir (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(arrêt 1P.405/1993 du 8 novembre 1993 consid. 3 publié in SJ 1994 p. 97).</w:t>
      </w:r>
    </w:p>
    <w:p>
      <w:r>
        <w:rPr>
          <w:b/>
        </w:rPr>
        <w:t>E. 3</w:t>
      </w:r>
    </w:p>
    <w:p>
      <w:r>
        <w:t>Pour l'essentiel, les recourantes critiquent l'appréciation des preuves opérée par le TPF et se plaignent de l'établissement manifestement inexact des faits. Elles estiment avoir produit les pièces démontrant que les fonds bloqués constitueraient le remboursement en 2011 de fonds existant en 2004 déjà alors que les infractions reprochées à A.________ dateraient de 2008.</w:t>
      </w:r>
    </w:p>
    <w:p>
      <w:r>
        <w:rPr>
          <w:b/>
        </w:rPr>
        <w:t>E. 3.1</w:t>
      </w:r>
    </w:p>
    <w:p>
      <w:r>
        <w:t>Le Tribunal fédéral statue sur la base des faits établis par l'autorité précédente ( art. 105 al. 1 LTF ), sauf s'ils ont été établis de façon manifestement inexacte ou en violation du droit au sens de l' art. 95 LTF ( art. 105 al. 2 LTF ). Le recourant qui entend invoquer que les faits importants pour le jugement de la cause ont été établis de manière arbitraire doit le démontrer par une argumentation précise répondant aux exigences de motivation de l' art. 42 al. 2 LTF , respectivement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3.2</w:t>
      </w:r>
    </w:p>
    <w:p>
      <w:r>
        <w:t>Le TPF a estimé qu'à ce stade initial de la procédure, il existait des indices suffisants permettant de suspecter que les valeurs patrimoniales saisies sur les comptes des recourantes étaient le produit des infractions qu'auraient commises le prévenu en Russie; le MPC devait encore analyser la documentation en sa possession et prendre les mesures d'instruction qui s'imposaient pour confirmer respectivement infirmer l'existence du soupçon initial. La question de l'origine des valeurs séquestrées peut en l'état rester indécise pour les raisons suivantes. En effet, dans ses déterminations devant le Tribunal fédéral, le MPC ne soutient plus que les valeurs saisies seraient le produit des infractions reprochées à A.________ en Russie. Il relève que, conformément aux déclarations des recourantes, ces valeurs patrimoniales proviennent de la dissolution de E.________ en 2011 et ont été déposées sur les comptes séquestrés à la suite d'une donation de A.________ alors ayant droit économique des valeurs séquestrées. Le MPC justifie dès lors le maintien du séquestre afin d'assurer l'exécution d'une créance compensatrice conformément à l' art. 71 CP , substituant ainsi un motif de séquestre (créance compensatrice) à celui retenu par le TPF (produit d'une infraction).</w:t>
      </w:r>
    </w:p>
    <w:p>
      <w:r>
        <w:rPr>
          <w:b/>
        </w:rPr>
        <w:t>E. 3.3</w:t>
      </w:r>
    </w:p>
    <w:p>
      <w:r>
        <w:t>Le séquestre en vue de l'exécution d'une créance compensatrice a pour but d'éviter que celui qui a disposé des objets ou valeurs à confisquer soit privilégié par rapport à celui qui les a conservés ( ATF 129 IV 107 consid. 3.2 p. 109;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71 CP ; art. 59 ch. 2 al. 1 aCP). La créance compensatrice ne joue qu'un rôle de substitution de la confiscation en nature et ne doit donc, par rapport à celle-ci, causer ni avantage ni inconvénient ( ATF 123 IV 70 consid. 3 p. 74).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(cf. MADELEINE HIRSIG-VOUILLOZ, Commentaire romand CP, 2009, n. 4 ad. art. 71 CP ). Entrent en considération comme fondement d'une créance compensatrice, autant les délits constituant la cause directe de l'avantage illicite, que les infractions secondaires comme le recel ou le blanchiment d'argent ( ATF 125 IV 4 consid. 2). Le montant de la créance compensatrice doit être fixé à la valeur des objets qui n'ont pu être saisis et en prenant en considération la totalité de l'avantage économique obtenu au moment de l'infraction (HIRSIG-VOUILLOZ, op. cit., n. 8 ad. art. 71 CP ). Cela présuppose ainsi que les valeurs patrimoniales mises sous séquestre équivalent au produit supposé d'une infraction, d'une part, et que le séquestre ordonné aux fins d'exécution de la créance compensatrice vise la "personne concernée", d'autre part. Par "personne concernée" au sens de l' art. 71 al. 3 CP (art. 59 ch. 2 al. 3 aCP), on entend non seulement l'auteur de l'infraction, mais aussi tout tiers, favorisé d'une manière ou d'une autre, par l'infraction (cf. arrêt 1B_185/2007 du 30 novembre 2007 consid. 10.1; cf. également LEMBO/JULEN BERTHOD, Commentaire romand CPP, n. 28 ad. art. 263 CPP ; HIRSIG-VOUILLOZ, Le nouveau droit suisse de la confiscation pénale et de la créance compensatrice [art. 69 à 72 CP] in PJA 2007 p. 1376 ss, spéc. 1387; NIKLAUS SCHMID (éd), Kommentar Einziehung, Organisiertes Verbrechen, Geldwäscherei, 2ème éd., tome I, 2007, p. 174).</w:t>
      </w:r>
    </w:p>
    <w:p>
      <w:r>
        <w:rPr>
          <w:b/>
        </w:rPr>
        <w:t>E. 3.4</w:t>
      </w:r>
    </w:p>
    <w:p>
      <w:r>
        <w:t>A l'appui de sa décision de maintien du séquestre en vue de l'exécution d'une créance compensatrice, le MPC relève notamment que les valeurs litigieuses ont été déposées selon un mécanisme propre à dissimuler leur véritable ayant droit économique. En outre, le MPC relève que le produit de l'infraction en Russie n'est plus disponible. Enfin, l'autorité pénale considère que les recourantes n'ont, à aucun moment de la procédure, fait valoir de contre-prestation adéquate pour les valeurs remises en donation par A.________. Dans leur réplique, les recourantes relèvent, sur la base des dernières constatations de fait du MPC, que le lien de connexité entre les infractions reprochées en Russie et les valeurs litigieuses bloquées fait défaut. Fortes de ce constat, les recourantes contestent en outre la compétence des autorités suisses pour prononcer le séquestre des valeurs litigieuses puisqu'il n'existerait plus aucun élément permettant de rattacher ces fonds à la Suisse.</w:t>
      </w:r>
    </w:p>
    <w:p>
      <w:r>
        <w:rPr>
          <w:b/>
        </w:rPr>
        <w:t>E. 3.5</w:t>
      </w:r>
    </w:p>
    <w:p>
      <w:r>
        <w:t>En l'occurrence, le sort des valeurs patrimoniales séquestrées doit être examiné au regard de l'ensemble des opérations financières réalisées par B.________ et A.________. Si les valeurs séquestrées ne sont pas, comme l'admet le MPC, le produit d'une infraction, mais que d'autres opérations sont en revanche liées à des valeurs d'origine criminelle, désormais non disponibles, la condamnation au paiement d'une créance compensatrice, dont le paiement serait garanti par les valeurs séquestrées, doit être envisagée. Une créance compensatrice peut au demeurant être prononcée non seulement contre la personne visée par la procédure pénale mais également contre des tiers. En l'état de la procédure et compte tenu des éléments apportés par le MPC dans sa réponse, la possibilité d'un séquestre en vue de garantir le paiement d'une créance compensatrice ( art. 71 CP ) n'apparaît pas d'emblée exclue. Le prononcé d'une telle mesure de séquestre fait cependant appel à des éléments de fait qui ne ressortent pas de l'arrêt entrepris et sur lesquelles l'instance précédente ne s'est pas prononcée (impossibilité de séquestrer le produit de l'infraction, montant d'une éventuelle créance compensatrice, titularité des comptes en cause et arrière-plan économique, etc.). Il convient dès lors de renvoyer la cause à l'instance précédente pour qu'elle procède, dans le respect du droit d'être entendues des recourantes, à un examen complet de la cause, en fait et en droit, après avoir au besoin effectué des mesures d'instruction complémentaires. Elle devra rendre une nouvelle décision faisant ressortir les motifs déterminants de fait et de droit en relation avec les questions juridiques soulevées (cf. art. 112 al. 1 let. b et al. 3 LTF ; ATF 135 II 145 consid. 8.2 p. 153).</w:t>
      </w:r>
    </w:p>
    <w:p>
      <w:r>
        <w:rPr>
          <w:b/>
        </w:rPr>
        <w:t>E. 4</w:t>
      </w:r>
    </w:p>
    <w:p>
      <w:r>
        <w:t>Sur le vu de ce qui précède, le recours doit être admis partiellement. L'arrêt attaqué est annulé et la cause renvoyée au TPF pour nouvelle décision dans le sens des considérants. L'annulation de l'arrêt entrepris n'a pas pour conséquence la levée du séquestre dès lors qu'en l'état la décision du MPC est maintenue. Les recourantes qui n'obtiennent que partiellement gain de cause puisque seule leur conclusion subsidiaire est admise, ne doivent payer qu'une partie des frais judiciaires, la Confédération n'ayant pas à en supporter ( art. 66 al. 1 et 4 LTF ). Pour le même motif, les recourantes ont droit à une indemnité de dépens réduite, à la charge du MPC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