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1B_390/2020 vom 2. Dezember 2020</w:t>
      </w:r>
    </w:p>
    <w:p>
      <w:r>
        <w:t>Bundesgericht, 2020-12-02, FR</w:t>
      </w:r>
    </w:p>
    <w:p>
      <w:r>
        <w:rPr>
          <w:b/>
        </w:rPr>
        <w:t xml:space="preserve">Quelle: </w:t>
      </w:r>
      <w:r>
        <w:t>https://mcp.opencaselaw.ch/entscheid/bger_1B_390_2020</w:t>
      </w:r>
    </w:p>
    <w:p>
      <w:r>
        <w:t>FR: TF 1B_390/2020 du 2 décembre 2020</w:t>
      </w:r>
    </w:p>
    <w:p>
      <w:r>
        <w:t>IT: TF 1B_390/2020 del 2 dicembre 2020</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irrégulier de sa détention depuis le 26 avril 2019, le recourant a un intérêt à l'annulation de l'arrêt attaqué.</w:t>
      </w:r>
    </w:p>
    <w:p>
      <w:r>
        <w:t>Les autres conditions de recevabilité sont remplies, de sorte qu'il convient d'entrer en matière.</w:t>
      </w:r>
    </w:p>
    <w:p>
      <w:r>
        <w:rPr>
          <w:b/>
        </w:rPr>
        <w:t>E. 2</w:t>
      </w:r>
    </w:p>
    <w:p>
      <w:r>
        <w:t>Invoquant les art. 3 CEDH et 7 Cst., le recourant reproche à l'instance précédente d'avoir considéré que les conditions de détention dans la cellule double qu'il occupait depuis le 26 avril 2019 au sein de la prison du Bois-Mermet n'étaient pas illicites. Il soutient que la surface de la cellule aurait été calculée de façon erronée: la surface de l'entrée de la cellule, soit l'embrasure de la porte, n'aurait pas dû être prise en compte.</w:t>
      </w:r>
    </w:p>
    <w:p>
      <w:r>
        <w:rPr>
          <w:b/>
        </w:rPr>
        <w:t>E. 2.1</w:t>
      </w:r>
    </w:p>
    <w:p>
      <w:r>
        <w:t>Au niveau conventionnel, l' art. 3 CEDH prévoit que nul ne peut être soumis à la torture ni à des peines ou traitements inhumains ou dégradants.</w:t>
      </w:r>
    </w:p>
    <w:p>
      <w:r>
        <w:t>Sur le plan constitutionnel, l' art. 7 Cst. prescrit de son côté que la dignité humaine doit être respectée et protégée. A teneur de l' art. 10 al. 3 Cst. , la torture et tout autre traitement ou peine cruels, inhumains ou dégradants sont interdits.</w:t>
      </w:r>
    </w:p>
    <w:p>
      <w:r>
        <w:t>Au niveau législatif, l' art. 3 al. 1 CPP rappelle le principe du respect de la dignité humaine. L' art. 235 CPP régit l'exécution de la détention; il pose le principe général de proportionnalité (al. 1) et précise (al. 5) que les cantons règlent les droits et les obligations des prévenus en détention (sur l'exécution de la détention, voir MATTHIAS HÄRRI, in Basler Kommentar, Schweizerische Strafprozessordnung, 2e éd. 2014, ad art. 234 et 235 CPP ).</w:t>
      </w:r>
    </w:p>
    <w:p>
      <w:r>
        <w:t>Dans le canton de Vaud, le règlement sur le statut des personnes détenues placées en établissement de détention avant jugement (RSDAJ; RSV 340.02.5) ne contient aucune disposition précise concernant l'aménagement, l'équipement, la dimension des cellules ou la surface dont doit bénéficier chaque détenu à l'intérieur de celles-ci.</w:t>
      </w:r>
    </w:p>
    <w:p>
      <w:r>
        <w:rPr>
          <w:b/>
        </w:rPr>
        <w:t>E. 2.1.1</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 (ci-après: CPT).</w:t>
      </w:r>
    </w:p>
    <w:p>
      <w:r>
        <w:t>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de 1 à 2 m²). De même, l'espace occupé par l'annexe sanitaire devrait être exclu du calcul des 4 m² par personne dans les cellules collectives. De plus, l'annexe sanitaire de ces dernières devrait être entièrement cloisonnée.</w:t>
      </w:r>
    </w:p>
    <w:p>
      <w:r>
        <w:rPr>
          <w:b/>
        </w:rPr>
        <w:t>E. 2.1.2</w:t>
      </w:r>
    </w:p>
    <w:p>
      <w:r>
        <w:t>Se prononçant sur la situation de la prison genevoise de Champ-Dollon, le Tribunal fédéral a jugé qu'en cas de surpopulation carcérale, l'occupation d'une cellule dite individuelle par trois détenus - chacun disposant d'un espace individuel de 4 m²,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une surface individuelle inférieure à 3,83 m² - restreinte encore par le mobilier - peut constituer une violation de l' art. 3 CEDH si elle s'étend sur une longue période et si elle s'accompagne d'autres mauvaises conditions de détention. Il faut dès lors considérer la période pendant laquelle l'intéressé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 ATF 140 I 125 consid. 3.6.3 p. 138 s.). Depuis lors, le Tribunal fédéral - s'inspirant également de la jurisprudence de la Cour européenne des droits de l'homme (cf. arrêts cités à l' ATF 140 I 125 consid. 3.4 p. 134 s.) - s'en est tenu au critère de la surface individuelle inférieure à 4 m² (cf. arrêt 1B_325/2017 du 14 novembre 2017 consid. 3.3).</w:t>
      </w:r>
    </w:p>
    <w:p>
      <w:r>
        <w:rPr>
          <w:b/>
        </w:rPr>
        <w:t>E. 2.1.3</w:t>
      </w:r>
    </w:p>
    <w:p>
      <w:r>
        <w:t>Dans un arrêt de principe</w:t>
      </w:r>
    </w:p>
    <w:p>
      <w:r>
        <w:t>Mursic contre Croatie du 20 octobre 2016, la Grande Chambre de la Cour européenne des droits de l'homme s'est cependant écartée de cet ordre de grandeur de 4 m², déduit des normes établies par le CPT: désormais, la Cour retient qu'une surface de 3 m² au sol par détenu constitue la norme minimale pertinente (arrêt CourEDH</w:t>
      </w:r>
    </w:p>
    <w:p>
      <w:r>
        <w:t>Mursic c. Croatie du 20 octobre 2016, requête n° 7334/13, § 110 à 115; pour une critique de cet arrêt, voir FRANÇOISE TULKENS, Cellule collective et espace personnel: un arrêt en trompe-l'oeil, in Revue trimestrielle des droits de l'homme 2017, p. 989 à 1004; cf. également arrêt CourEDH</w:t>
      </w:r>
    </w:p>
    <w:p>
      <w:r>
        <w:t>J.M.B. et autres contre France du 30 janvier 2020, requête no 9671/15, § 255 et 256).</w:t>
      </w:r>
    </w:p>
    <w:p>
      <w:r>
        <w:rPr>
          <w:b/>
        </w:rPr>
        <w:t>E. 2.2</w:t>
      </w:r>
    </w:p>
    <w:p>
      <w:r>
        <w:t>En l'espèce, le Tribunal cantonal a constaté que le recourant disposait d'une surface individuelle nette de 4,0475 m², soit une surface supérieure au standard minimal de 4 m². Selon lui, si la jurisprudence préconisait de déduire la surface dédiée aux sanitaires et prévoyait que la surface correspondant au standard de 4 m² soit restreinte du mobilier, il ne voyait pas pour quel motif il y aurait encore lieu de déduire de la surface brute totale de la cellule la surface de l'embrasure de la porte, espace vide effectivement à disposition.</w:t>
      </w:r>
    </w:p>
    <w:p>
      <w:r>
        <w:t>Le recourant conteste en vain l'appréciation de l'instance précédente. En effet, contrairement à ce que soutient le recourant, la surface au sol de l'embrasure de la porte doit être prise en compte dans le calcul de la surface de la cellule à disposition des détenus. Le fait que la hauteur de l'embra sure de la porte est de 1,79 m alors que le recourant mesure 1,78 m ne modifie pas cette appréciation. Selon les constatations de fait du Tribunal cantonal qui ne sont pour le reste pas contestées, le recourant dispose, après déduction de la surface consacrée aux installations sanitaires, d'un espace individuel de plus de 4,0475 m², restreint du mobilier. L'occupation de la cellule litigieuse par deux détenus - chacun disposant d'un espace personnel de plus de 4 m², restreint du mobilier - n'est donc pas constitutive d'une violation de l' art. 3 CEDH et ne représente pas un traitement dégradant portant atteinte à la dignité humaine des prévenus ( ATF 140 I 125 consid. 3.6.3 p. 139). Pour le surplus, le recourant n'invoque, dans son mémoire de recours, aucun autre aspect des conditions de sa détention.</w:t>
      </w:r>
    </w:p>
    <w:p>
      <w:r>
        <w:rPr>
          <w:b/>
        </w:rPr>
        <w:t>E. 2.3</w:t>
      </w:r>
    </w:p>
    <w:p>
      <w:r>
        <w:t>La cour cantonale pouvait ainsi considérer, sans violer le droit fédéral, que les conditions d'incarcération du recourant depuis le 26 avril 2019 étaient conformes aux art. 7 Cst. et 3 CEDH.</w:t>
      </w:r>
    </w:p>
    <w:p>
      <w:r>
        <w:rPr>
          <w:b/>
        </w:rPr>
        <w:t>E. 3</w:t>
      </w:r>
    </w:p>
    <w:p>
      <w:r>
        <w:t>Il s'ensuit que le recours est rejeté.</w:t>
      </w:r>
    </w:p>
    <w:p>
      <w:r>
        <w:t>Le recourant a demandé l'assistance judiciaire et les conditions en paraissent réunies ( art. 64 al. 1 LTF ). Il y a lieu de désigner Me Jean-Emmanuel Rossel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