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1B_38/2020 vom 6. Februar 2020</w:t>
      </w:r>
    </w:p>
    <w:p>
      <w:r>
        <w:t>Bundesgericht, 2020-02-06, DE</w:t>
      </w:r>
    </w:p>
    <w:p>
      <w:r>
        <w:rPr>
          <w:b/>
        </w:rPr>
        <w:t xml:space="preserve">Quelle: </w:t>
      </w:r>
      <w:r>
        <w:t>https://mcp.opencaselaw.ch/entscheid/bger_1B_38_2020</w:t>
      </w:r>
    </w:p>
    <w:p>
      <w:r>
        <w:t>FR: TF 1B_38/2020 du 6 février 2020</w:t>
      </w:r>
    </w:p>
    <w:p>
      <w:r>
        <w:t>IT: TF 1B_38/2020 del 6 febbraio 2020</w:t>
      </w:r>
    </w:p>
    <w:p>
      <w:pPr>
        <w:pStyle w:val="Heading2"/>
      </w:pPr>
      <w:r>
        <w:t>Erwägungen</w:t>
      </w:r>
    </w:p>
    <w:p>
      <w:r>
        <w:rPr>
          <w:b/>
        </w:rPr>
        <w:t>E. 1</w:t>
      </w:r>
    </w:p>
    <w:p>
      <w:r>
        <w:t>Im beim Regionalgericht Berner Jura-Seeland gegen ihn hängigen Strafverfahren stellte A.________ einen Beweisantrag sowie einen Antrag auf Annullierung der auf den 6. Februar 2020 angesetzten Hauptverhandlung. Mit Verfügung vom 23. Dezember 2019 wies das Regionalgericht den Beweisantrag ab und den Annullierungsantrag "zur Zeit" ab. Gegen diesen Entscheid erhob A.________ am 7. Januar 2020 Beschwerde beim Regionalgericht, welches die Sache zuständigkeitshalber dem Obergericht überwies. Dieses trat am 13. Januar 2020 auf die Beschwerde nicht ein mit der Begründung, die Verfügung vom 23. Dezember 2019 sei nicht anfechtbar.</w:t>
      </w:r>
    </w:p>
    <w:p>
      <w:r>
        <w:t>Mit Beschwerde vom 20. Januar 2020 beantragt A.________ sinngemäss, diesen Entscheid aufzuheben und seinen Beweisantrag gutzuheissen.</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Der Beschwerdeführer setzt sich mit der (zutreffenden) Begründung des angefochtenen Entscheids nicht sachgerecht auseinander und legt nicht dar, inwiefern dieser Bundesrecht verletzt. Auf die Beschwerde ist wegen Verletzung der gesetzlichen Begründungspflicht im vereinfachten Verfahren nicht einzutreten. Kosten sind ausnahmsweise keine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