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1B_38/2014 vom 4. Februar 2014</w:t>
      </w:r>
    </w:p>
    <w:p>
      <w:r>
        <w:t>Bundesgericht, 2014-02-04, FR</w:t>
      </w:r>
    </w:p>
    <w:p>
      <w:r>
        <w:rPr>
          <w:b/>
        </w:rPr>
        <w:t xml:space="preserve">Quelle: </w:t>
      </w:r>
      <w:r>
        <w:t>https://mcp.opencaselaw.ch/entscheid/bger_1B_38_2014</w:t>
      </w:r>
    </w:p>
    <w:p>
      <w:r>
        <w:t>FR: TF 1B_38/2014 du 4 février 2014</w:t>
      </w:r>
    </w:p>
    <w:p>
      <w:r>
        <w:t>IT: TF 1B_38/2014 del 4 febbraio 2014</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(RS 312.0).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art. 212 al. 2 et 3 CPP ).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Le Tribunal fédéral examine librement ces questions, sous réserve toutefois de l'appréciation des faits, revue sous l'angle restreint des art. 97 al. 1 et 105 al. 2 LTF ( ATF 135 I 71 consid. 2.5 p. 73 s. et les références).</w:t>
      </w:r>
    </w:p>
    <w:p>
      <w:r>
        <w:rPr>
          <w:b/>
        </w:rPr>
        <w:t>E. 3</w:t>
      </w:r>
    </w:p>
    <w:p>
      <w:r>
        <w:t>Préalablement à des critiques de fond, le recourant se plaint d'une violation de son droit d'être entendu en lien avec des mesures d'instruction destinées à démontrer que, en cas de sortie de prison, il aurait un travail et bénéficierait de l'aide financière de ses parents. Il fait aussi état d'une absence de motivation. S'agissant-là de griefs de nature formelle, ils doivent être examinés en premier lieu.</w:t>
      </w:r>
    </w:p>
    <w:p>
      <w:r>
        <w:t>Il ressort de l'arrêt cantonal que le recourant a requis, à titre de mesures d'instruction, la production de divers documents, ainsi que l'audition de sa compagne et de son père; selon l'intéressé, ces éléments étaient de nature à démontrer qu'il serait soutenu moralement et financièrement à sa sortie de prison et qu'il bénéficierait d'un engagement en qualité d'aide-peintre. Les juges cantonaux n'ont pas donné suite à ces réquisitions, estimant qu'un tel soutien n'empêcherait pas le recourant de récidiver, vu son importante implication dans le cadre de la présente affaire et son passé judiciaire. Ce faisant, la cour cantonale a procédé à une appréciation anticipée des preuves pour renoncer à administrer les preuves requises. Dans la mesure où le recourant ne démontre pas l'arbitraire d'une telle appréciation anticipée des preuves, le grief de violation du droit d'être entendu déduit de l' art. 29 al. 2 Cst. doit être écarté ( ATF 136 I 229 consid. 5.3 p. 236 s.). En outre, comme la cour cantonale a exposé les motifs pour lesquels elle ne donnait pas suite aux réquisitions de preuve, à savoir que celles-ci ne portaient pas sur des faits pertinents (cf. art. 139 al. 2 CPP ), on ne discerne pas de violation de son obligation de motiver ( ATF 138 I 232 consid. 5.1 p. 238 et les références citées).</w:t>
      </w:r>
    </w:p>
    <w:p>
      <w:r>
        <w:rPr>
          <w:b/>
        </w:rPr>
        <w:t>E. 4</w:t>
      </w:r>
    </w:p>
    <w:p>
      <w:r>
        <w:t>Le recourant ne conteste pas l'existence des charges qui pèsent contre lui. En revanche, il remet en cause l'existence d'un risque de récidive.</w:t>
      </w:r>
    </w:p>
    <w:p>
      <w:r>
        <w:rPr>
          <w:b/>
        </w:rPr>
        <w:t>E. 4.1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t>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4.2</w:t>
      </w:r>
    </w:p>
    <w:p>
      <w:r>
        <w:t>Pour retenir un risque de récidive à charge du recourant, la cour cantonale a constaté que l'intéressé avait été condamné pénalement à quatre reprises, pour infractions à la loi sur la circulation routière et à la LArm; malgré une peine privative de liberté ferme de 30 jours prononcée en 2010, il s'était adonné dès 2011 à un important trafic de stupéfiants portant sur des produits très divers et lui procurant un bénéfice de 120'000 fr.; malgré sa situation familiale, en particulier son rôle de père, et ses revenus réalisés de manière légale, il s'était principalement consacré à des activités délictueuses, par simple appât du gain. Ces éléments conduisaient à poser un pronostic très défavorable à l'endroit du recourant et aucune mesure de substitution n'était à même de prévenir le risque concret de réitération.</w:t>
      </w:r>
    </w:p>
    <w:p>
      <w:r>
        <w:t>Pour relativiser le risque de récidive, le recourant insiste sur le fait que ses antécédents judiciaires ne relèvent pas de la LStup et que les quantités de marijuana qu'il a écoulées reposent sur ses propres déclarations; en tant que jeune adulte confronté au monde carcéral, il a pris conscience de l'effet dissuasif de la privation de liberté; à sa sortie de prison, il parviendra à subvenir à ses besoins par son travail et bénéficiera en tout état de l'aide de sa famille. Il en conclut qu'il serait totalement invraisemblable qu'il récidive.</w:t>
      </w:r>
    </w:p>
    <w:p>
      <w:r>
        <w:rPr>
          <w:b/>
        </w:rPr>
        <w:t>E. 4.3</w:t>
      </w:r>
    </w:p>
    <w:p>
      <w:r>
        <w:t>Contrairement à ce que soutient le recourant, la réalisation du risque de récidive ne tient pas uniquement à l'existence d'antécédents judiciaires "du même genre" (cf. art. 221 al. 1 let . c CPP). Outre les cas d'infractions les plus graves, qui ne supposent pas l'existence d'antécédents, le risque de récidive peut aussi être retenu lorsque la procédure elle-même révèle des infractions répétées (cf. supra consid. 4.1). Tel est précisément le cas du recourant qui, sur une période de deux ans, a écoulé différentes substances stupéfiantes de manière à réaliser un bénéfice substantiel. En raison de la durée et de la répétition de l'activité délictueuse, entreprise dans le seul but de réaliser un gain facile, la cour cantonale pouvait, sans violer l' art. 221 al. 1 let . c CPP, admettre un risque de récidive justifiant encore le maintien en détention. Quant à l'encadrement familial et professionnel du recourant, force est de constater qu'il ne l'a précédemment pas empêché d'entreprendre et de poursuivre son activité délictueuse.</w:t>
      </w:r>
    </w:p>
    <w:p>
      <w:r>
        <w:t>En détention provisoire depuis un peu plus de huit mois, le recourant ne se plaint pas - à bon droit - d'une violation du principe de la proportionnalité ( art. 212 al. 3 CPP ). Cela n'empêchera pas le Ministère public, comme il l'a annoncé dans ses dernières observations, de clore tout prochainement le dossier en vue d'une mise en accusation rapide devant le tribunal compétent.</w:t>
      </w:r>
    </w:p>
    <w:p>
      <w:r>
        <w:rPr>
          <w:b/>
        </w:rPr>
        <w:t>E. 5</w:t>
      </w:r>
    </w:p>
    <w:p>
      <w:r>
        <w:t>Il s'ensuit que le recours doit être rejeté.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