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38/2011 vom 17. Februar 2011</w:t>
      </w:r>
    </w:p>
    <w:p>
      <w:r>
        <w:t>Bundesgericht, 2011-02-17, FR</w:t>
      </w:r>
    </w:p>
    <w:p>
      <w:r>
        <w:rPr>
          <w:b/>
        </w:rPr>
        <w:t xml:space="preserve">Quelle: </w:t>
      </w:r>
      <w:r>
        <w:t>https://mcp.opencaselaw.ch/entscheid/bger_1B_38_2011</w:t>
      </w:r>
    </w:p>
    <w:p>
      <w:r>
        <w:t>FR: TF 1B 38/2011 du 17 février 2011</w:t>
      </w:r>
    </w:p>
    <w:p>
      <w:r>
        <w:t>IT: TF 1B 38/2011 del 17 febbraio 2011</w:t>
      </w:r>
    </w:p>
    <w:p>
      <w:pPr>
        <w:pStyle w:val="Heading2"/>
      </w:pPr>
      <w:r>
        <w:t>Regeste</w:t>
      </w:r>
    </w:p>
    <w:p>
      <w:r>
        <w:t>détention préventive | Procédure pénale</w:t>
      </w:r>
    </w:p>
    <w:p>
      <w:pPr>
        <w:pStyle w:val="Heading2"/>
      </w:pPr>
      <w:r>
        <w:t>Erwägungen</w:t>
      </w:r>
    </w:p>
    <w:p>
      <w:r>
        <w:rPr>
          <w:b/>
        </w:rPr>
        <w:t>E. 1</w:t>
      </w:r>
    </w:p>
    <w:p>
      <w:r>
        <w:t>Les décisions relatives à la détention avant jugement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La décision de première instance ayant été rendue avant le 1er janvier 2011, date de l'entrée en vigueur du Code de procédure pénale suisse (CPP; RS 312.0), c'est à juste titre que le Tribunal cantonal a fait application de l'ancien droit cantonal de procédure ( art. 453 CPP ). C'est donc également à l'aune de ce droit qu'il convient d'examiner le bien-fondé de l'arrêt attaqué.</w:t>
      </w:r>
    </w:p>
    <w:p>
      <w:r>
        <w:rPr>
          <w:b/>
        </w:rPr>
        <w:t>E. 3</w:t>
      </w:r>
    </w:p>
    <w:p>
      <w:r>
        <w:t>Une mesure de détention préventive n'est compatible avec la liberté personnelle, garantie par les art. 10 al. 2 Cst. et 5 CEDH, que si elle repose sur une base légale (art. 31 al. 1 et 36 al. 1 Cst.), soit en l'espèce l'art. 59 de l'ancien Code de procédure pénale du canton de Vaud du 12 septembre 1967 (CPP/VD).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al. 1 ch. 1, 2 et 3 CPP/VD). La gravité de l'infraction et l'importance de la peine encourue ne sont, à elles seules, pas suffisantes ( ATF 125 I 60 consid. 3a p. 62; 117 Ia 69 consid. 4a p. 70). Préalablement à ces conditions, il doit exister à l'égard de l'intéressé des charges suffisantes, soit de sérieux soupçons de culpabilité ( art. 5 par. 1 let . c CEDH; ATF 116 Ia 143 consid. 3 p. 144 s.; art. 59 al. 1 in initio CPP/VD). S'agissant d'une restriction grave à la liberté personnelle, le Tribunal fédéral examine librement ces questions, sous réserve toutefois de l'appréciation des faits, revue sous l'angle restreint des art. 97 al. 1 et 105 al. 2 LTF ( ATF 135 I 71 consid. 2.5 p. 73 s. et les références citées).</w:t>
      </w:r>
    </w:p>
    <w:p>
      <w:r>
        <w:rPr>
          <w:b/>
        </w:rPr>
        <w:t>E. 4</w:t>
      </w:r>
    </w:p>
    <w:p>
      <w:r>
        <w:t>Le recourant ne remet pas en question l'existence de charges suffisantes, ni la proportionnalité de la détention préventive subie, mais il s'en prend uniquement au risque de récidive.</w:t>
      </w:r>
    </w:p>
    <w:p>
      <w:r>
        <w:rPr>
          <w:b/>
        </w:rPr>
        <w:t>E. 4.1</w:t>
      </w:r>
    </w:p>
    <w:p>
      <w:r>
        <w:t>Selon la jurisprudence, le maintien en détention préventive se justifie s'il y a lieu de présumer, avec une certaine vraisemblance, qu'il existe un danger de récidive. Il convient de faire preuve de retenue dans l'appréciation du risque: le maintien en détention ne peut se justifier pour ce motif que si le pronostic est très défavorable et que les délits dont l'autorité redoute la réitération sont graves ( ATF 133 I 270 consid. 2.2 p. 276; 125 I 60 consid. 3a p. 62;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w:t>
      </w:r>
    </w:p>
    <w:p>
      <w:r>
        <w:rPr>
          <w:b/>
        </w:rPr>
        <w:t>E. 4.2</w:t>
      </w:r>
    </w:p>
    <w:p>
      <w:r>
        <w:t>En l'espèce, les actes reprochés au recourant revêtent une gravité certaine. Il est en effet accusé d'avoir violenté une personne âgée et d'avoir tenté de l'enlever afin d'obtenir une importante somme d'argent. Il a en outre des antécédents, puisqu'il a été condamné le 25 août 2009 par le Tribunal des mineurs du canton de Vaud pour vol, vol d'importance mineure, tentative de vol, tentative de brigandage qualifié, dommages à la propriété, violation de domicile et vol d'usage d'un cycle. De plus, une expertise psychiatrique datée du 1er décembre 2010 conclut que le recourant est susceptible de commettre de nouvelles infractions, que ce risque est élevé si son environnement est instable, mais qu'il peut être diminué par un environnement stable et structurant. Les experts avaient en premier lieu envisagé un placement dans un foyer, mais l'intéressé s'est opposé "avec virulence" à un tel placement, raison pour laquelle ils ont conclu que seul un traitement ambulatoire était envisageable. Confirmant l'appréciation du juge d'instruction, le Tribunal cantonal estime toutefois qu'un traitement ambulatoire n'est pas suffisant pour pallier le risque élevé de récidive. Le recourant ne remet pas en cause cette appréciation de manière convaincante. En effet, dans une argumentation dénuée de tout fondement juridique, il se borne à reprendre le recours formé devant le Tribunal cantonal, présentant sa vision de la tentative d'enlèvement et minimisant sa participation à celle-ci, tout en affirmant en substance qu'un traitement ambulatoire serait suffisant. Il ne démontre aucunement cette dernière assertion et il ne présente aucune garantie quant à sa volonté de se soumettre à une mesure propre à réduire le risque de récidive. Il ne soulève pour le surplus aucun motif qui justifierait de s'écarter de l'appréciation des juges cantonaux. En définitive, compte tenu de la nature des infractions reprochées au recourant, de ses antécédents, des conclusions de l'expertise psychiatrique et de l'attitude de l'intéressé, notamment quant à un éventuel placement en foyer, c'est à juste titre que l'arrêt attaqué a conclu que le maintien en détention était, en l'état, justifié par un risque de récidive.</w:t>
      </w:r>
    </w:p>
    <w:p>
      <w:r>
        <w:rPr>
          <w:b/>
        </w:rPr>
        <w:t>E. 5</w:t>
      </w:r>
    </w:p>
    <w:p>
      <w:r>
        <w:t>Il s'ensuit que le recours doit être rejeté. Le recourant, qui succombe, doit supporter les frais de la présente procédure ( art. 66 al. 1 LTF ), étant précisé qu'il n'a pas requis l'assistance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