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1B_389/2020 vom 19. August 2020</w:t>
      </w:r>
    </w:p>
    <w:p>
      <w:r>
        <w:t>Bundesgericht, 2020-08-19, DE</w:t>
      </w:r>
    </w:p>
    <w:p>
      <w:r>
        <w:rPr>
          <w:b/>
        </w:rPr>
        <w:t xml:space="preserve">Quelle: </w:t>
      </w:r>
      <w:r>
        <w:t>https://mcp.opencaselaw.ch/entscheid/bger_1B_389_2020</w:t>
      </w:r>
    </w:p>
    <w:p>
      <w:r>
        <w:t>FR: TF 1B_389/2020 du 19 août 2020</w:t>
      </w:r>
    </w:p>
    <w:p>
      <w:r>
        <w:t>IT: TF 1B_389/2020 del 19 agosto 2020</w:t>
      </w:r>
    </w:p>
    <w:p>
      <w:pPr>
        <w:pStyle w:val="Heading2"/>
      </w:pPr>
      <w:r>
        <w:t>Erwägungen</w:t>
      </w:r>
    </w:p>
    <w:p>
      <w:r>
        <w:rPr>
          <w:b/>
        </w:rPr>
        <w:t>E. 1.1</w:t>
      </w:r>
    </w:p>
    <w:p>
      <w:r>
        <w:t>Gegen kantonal letztinstanzliche Entscheide über strafprozessuale Haft oder sonstige Zwangsmassnahmen in Anwendung von Art. 212 ff. StPO steht die Beschwerde in Strafsachen an das Bundesgericht gemäss Art. 78 ff. BGG offen.</w:t>
      </w:r>
    </w:p>
    <w:p>
      <w:r>
        <w:rPr>
          <w:b/>
        </w:rPr>
        <w:t>E. 1.2</w:t>
      </w:r>
    </w:p>
    <w:p>
      <w:r>
        <w:t>Der Beschwerdeführer war am vorinstanzlichen Verfahren beteiligt und ist als Beschuldigter von den strittigen Ersatzmassnahmen direkt betroffen. Er ist mithin zur Beschwerde an das Bundesgericht legitimiert (vgl. Art. 81 Abs. 1 BGG ).</w:t>
      </w:r>
    </w:p>
    <w:p>
      <w:r>
        <w:rPr>
          <w:b/>
        </w:rPr>
        <w:t>E. 1.3</w:t>
      </w:r>
    </w:p>
    <w:p>
      <w:r>
        <w:t>Fraglich erscheint, ob der Beschwerdeführer den Streitgegenstand mit seiner Beschwerde vor dem Bundesgericht nicht in unzulässiger Weise erweitert. Vor dem Zwangsmassnahmengericht hatte er sich nicht grundsätzlich gegen die Ersatzmassnahmen gewehrt, sondern im Wesentlichen lediglich die Aussetzung aller Massnahmen ausser des Kontakt- und Rayonverbots für eine inzwischen abgelaufene Zeitdauer beantragt. Indem er in der Folge vor der Vorinstanz und dem Bundesgericht überhaupt die Aufhebung derselben Massnahmen verlangte, scheint er über den ursprünglichen Antrag hinauszugehen. Das Obergericht prüfte die Rechtmässigkeit der fraglichen Ersatzmassnahmen indessen uneingeschränkt. Wie es sich damit verhält, kann offenbleiben.</w:t>
      </w:r>
    </w:p>
    <w:p>
      <w:r>
        <w:rPr>
          <w:b/>
        </w:rPr>
        <w:t>E. 1.4</w:t>
      </w:r>
    </w:p>
    <w:p>
      <w:r>
        <w:t>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(vgl. Art. 97 Abs. 1 und Art. 105 Abs. 2 BGG ; BGE 145 IV 154 E. 1.1 S. 155 f. ; 143 I 310 E. 2.2 S. 313; je mit Hinweis).</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Das Bundesgericht prüft nur klar und detailliert erhobene und, soweit möglich, belegte Rügen ( BGE 138 I 171 E. 1.4 S. 176; 135 III 127 E. 1.6 S. 130; 133 II 249 E. 1.4 S. 254 f.).</w:t>
      </w:r>
    </w:p>
    <w:p>
      <w:r>
        <w:rPr>
          <w:b/>
        </w:rPr>
        <w:t>E. 2.2</w:t>
      </w:r>
    </w:p>
    <w:p>
      <w:r>
        <w:t>Die eingereichte Beschwerdeschrift ist teilweise appellatorischer Natur. Der Beschwerdeführer setzt sich insofern nicht ausreichend mit der Argumentation der Vorinstanz auseinander. Auf die Beschwerde ist daher nur im nachfolgenden Umfang einzutreten.</w:t>
      </w:r>
    </w:p>
    <w:p>
      <w:r>
        <w:rPr>
          <w:b/>
        </w:rPr>
        <w:t>E. 3.1</w:t>
      </w:r>
    </w:p>
    <w:p>
      <w:r>
        <w:t>Untersuchungs- und Sicherheitshaft sind nur zulässig, wenn ein dringender Tatverdacht für ein Verbrechen oder Vergehen vorliegt ( Art. 221 Abs. 1 StPO ) sowie ein Haftgrund besteht. Im vorliegenden Fall kommt insoweit einzig Fluchtgefahr nach Art. 221 Abs. 1 lit. a StPO in Frage. Da Ersatzmassnahmen nach Art. 237 StPO an die Stelle von Untersuchungs- oder Sicherheitshaft treten, bedingt ihre Anordnung ebenfalls, dass die Grundvoraussetzungen von Haft gemäss Art. 221 StPO erfüllt sind ( BGE 137 IV 122 E. 2 S. 125). Strafprozessuale Zwangsmassnahmen müssen überdies verhältnismässig sein (vgl. Art. 5 Abs. 2 und Art. 36 Abs. 3 BV sowie Art. 197 StPO ). Es bildet bereits eine Frage der Verhältnismässigkeit, ob Haft oder Ersatzmassnahmen verfügt werden (vgl. Art. 212 Abs. 2 lit. c StPO ). Allfällige Ersatzmassnahmen selbst müssen wiederum den Grundsatz der Verhältnismässigkeit wahren.</w:t>
      </w:r>
    </w:p>
    <w:p>
      <w:r>
        <w:rPr>
          <w:b/>
        </w:rPr>
        <w:t>E. 3.2</w:t>
      </w:r>
    </w:p>
    <w:p>
      <w:r>
        <w:t>Nur schon mit Blick darauf, dass sonst zumindest vorübergehend ein Freiheitsentzug droht, kann ein Beschuldigter sich bereit erklären, sich an einzelne Ersatzmassnahmen zu halten, ohne dass er damit zugesteht, die Haftvoraussetzungen seien erfüllt (vgl. das Urteil des Bundesgerichts 1B_19/2018 vom 15. Februar 2018 E. 3). Der in der vorliegenden Laienbeschwerde vertretene Standpunkt, das Kontakt- und Rayonverbot nicht, wohl aber die übrigen Ersatzmassnahmen anzufechten, dürfte in diesem Sinne zu verstehen sein, auch wenn der Beschwerdeführer damit grundsätzlich anerkennen würde, dass die rechtlichen Grundvoraussetzungen des Vorliegens eines dringenden Tatverdachts sowie von Fluchtgefahr erfüllt sind. Gerade diese Voraussetzungen stellt er jedoch nebst der Verhältnismässigkeit der Ersatzmassnahmen mit Ausnahme des Kontakt- und Rayonverbots in Frage.</w:t>
      </w:r>
    </w:p>
    <w:p>
      <w:r>
        <w:rPr>
          <w:b/>
        </w:rPr>
        <w:t>E. 3.3</w:t>
      </w:r>
    </w:p>
    <w:p>
      <w:r>
        <w:t>Der Beschwerdeführer macht geltend, die Anklage stütze sich einzig auf Indizien. Damit widerlegt er aber die vorinstanzliche Begründung für das Vorliegen eines dringenden Tatverdachts nicht. Ein solcher beruht häufig auf Indizien. Es ist aufgrund seiner Ausführungen nicht nachvollziehbar, inwiefern die entsprechenden tatsächlichen Feststellungen offensichtlich unrichtig und die daraus gezogenen rechtlichen Folgerungen unzutreffend sein sollten.</w:t>
      </w:r>
    </w:p>
    <w:p>
      <w:r>
        <w:rPr>
          <w:b/>
        </w:rPr>
        <w:t>E. 3.4</w:t>
      </w:r>
    </w:p>
    <w:p>
      <w:r>
        <w:t>Der Beschwerdeführer bestreitet ebenfalls das Vorliegen von Fluchtgefahr. Auch hier bleiben seine Ausführungen rudimentär. Zu Recht geht die Vorinstanz davon aus, dass die mit der Anklage beantragten Sanktionen einer Freiheitsstrafe von 51 Monaten sowie einer Landesverweisung für die Dauer von sieben Jahren einen Anreiz für den Beschwerdeführer bilden könnten, die Schweiz zu verlassen. Der Beschwerdeführer hat Verbindungen nach Frankreich, Deutschland und Italien und verfügt im Ausland vermutlich auch über Vermögen und Wohnmöglichkeiten. Mit den von ihm vor dem Bundesgericht wiederholten Argumenten, er fühle sich wohl an seinem neuen Wohnort in Montreux, befinde sich in einer neuen Beziehung, werde demnächst Vater und treffe sich mit früheren Radsportprofis, mit denen er inzwischen gut befreundet sei, zu regelmässigen Velofahrten, hat sich die Vorinstanz eingehend auseinandergesetzt. Was daran offensichtlich falsch festgestellt bzw. bundesrechtswidrig gewürdigt worden sein sollte, ist nicht ersichtlich.</w:t>
      </w:r>
    </w:p>
    <w:p>
      <w:r>
        <w:t>Hinzu kommt, dass der Beschwerdeführer in seiner Beschwerdeschrift einräumte, seine Arbeitsstelle, bedingt durch die Covid-19-Pandemie, verloren zu haben, womit auch die Zweifel des Obergerichts an der beruflichen Stabilität des Beschwerdeführers im Zeitpunkt des vorinstanzlichen Entscheids nicht in Frage gestellt werden. Immerhin kündigte er bereits eine neue Stelle an und reichte in seiner letzten Eingabe vom 15. August 2020 einen am 27. Juli 2020 unterzeichneten Arbeitsvertrag nach. Dabei handelt es sich zwar grundsätzlich um ein nach Art. 99 Abs. 1 BGG unzulässiges neues Beweismittel. So oder so vermag dieses aber die Einschätzung der Fluchtgefahr nicht derart zu beeinflussen, dass deswegen überhaupt nicht mehr von einer solchen auszugehen wäre.</w:t>
      </w:r>
    </w:p>
    <w:p>
      <w:r>
        <w:rPr>
          <w:b/>
        </w:rPr>
        <w:t>E. 3.5</w:t>
      </w:r>
    </w:p>
    <w:p>
      <w:r>
        <w:t>Die strittigen Ersatzmassnahmen verfügen über eine relativ geringe Eingriffsintensität. Der Beschwerdeführer darf die Schweiz nicht verlassen und ist verpflichtet, sich nach den Anordnungen der Staatsanwaltschaft regelmässig einmal pro Woche bei der Polizei persönlich zu melden. Überdies wurden seine Ausweisschriften eingezogen und er erhält keine Ersatzdokumente. Die Hauptverhandlung ist auf den 23. Oktober 2020 angesetzt. Die Ersatzmassnahmen laufen spätestens Ende Oktober bzw. bereits früher ab, wenn das erstinstanzliche Urteil schon vorher ausgesprochen wird. Die vom Beschwerdeführer gewünschte Teilnahme an der Anhörung durch den Instruktionsrichter im Rahmen eines Erbteilungsverfahrens in Italien wird von den strittigen Ersatzmassnahmen nicht berührt, ist diese Anhörung doch auf den 11. November 2020 angesetzt. Wie die Vorinstanz zu Recht ausführt, kann er die zur Vorbereitung der Anhörung nötigen Abklärungen, eventuell unter zusätzlicher Verwendung elektronischer Hilfsmittel, durch eine Drittperson vornehmen lassen. Die Ersatzmassnahmen sind mithin verhältnismässig und verletzen Bundesrecht nicht.</w:t>
      </w:r>
    </w:p>
    <w:p>
      <w:r>
        <w:rPr>
          <w:b/>
        </w:rPr>
        <w:t>E. 4</w:t>
      </w:r>
    </w:p>
    <w:p>
      <w:r>
        <w:t>Die Beschwerde erweist sich als unbegründet und ist abzuweisen, soweit darauf eingetreten werden kann.</w:t>
      </w:r>
    </w:p>
    <w:p>
      <w:r>
        <w:t>Bei diesem Verfahrensausgang wird der unterliegende Beschwerdeführer kostenpflichtig ( Art. 66 Abs. 1 BGG ). Sein Gesuch um unentgeltliche Rechtspflege ist wegen Aussichtslosigkeit seiner Begehren abzuweisen (vgl. Art. 64 BGG ). Seine glaubwürdig behauptete finanziell angespannte Lage kann immerhin bei der Festlegung der Gerichtsgebühr berücksichtigt werden (vgl.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