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1B_386/2010 vom 9. Februar 2011</w:t>
      </w:r>
    </w:p>
    <w:p>
      <w:r>
        <w:t>Bundesgericht, 2011-02-09, DE</w:t>
      </w:r>
    </w:p>
    <w:p>
      <w:r>
        <w:rPr>
          <w:b/>
        </w:rPr>
        <w:t xml:space="preserve">Quelle: </w:t>
      </w:r>
      <w:r>
        <w:t>https://mcp.opencaselaw.ch/entscheid/bger_1B_386_2010</w:t>
      </w:r>
    </w:p>
    <w:p>
      <w:r>
        <w:t>FR: TF 1B_386/2010 du 9 février 2011</w:t>
      </w:r>
    </w:p>
    <w:p>
      <w:r>
        <w:t>IT: TF 1B_386/2010 del 9 febbraio 2011</w:t>
      </w:r>
    </w:p>
    <w:p>
      <w:pPr>
        <w:pStyle w:val="Heading2"/>
      </w:pPr>
      <w:r>
        <w:t>Erwägungen</w:t>
      </w:r>
    </w:p>
    <w:p>
      <w:r>
        <w:rPr>
          <w:b/>
        </w:rPr>
        <w:t>E. 1</w:t>
      </w:r>
    </w:p>
    <w:p>
      <w:r>
        <w:t>Das Bundesgericht prüft die Zulässigkeit der Beschwerde von Amtes wegen ( Art. 29 Abs. 1 BGG ). Nach Art. 453 Abs. 1 der am 1. Januar 2011 in Kraft getretenen Schweizerischen Strafprozessordnung vom 5. Oktober 2007 (Strafprozessordnung, StPO; SR 312.0) werden Rechtsmittel gegen einen Entscheid, der vor Inkrafttreten dieses Gesetzes gefällt wurde, nach bisherigem Recht von den bisher zuständigen Behörden beurteilt.</w:t>
      </w:r>
    </w:p>
    <w:p>
      <w:r>
        <w:rPr>
          <w:b/>
        </w:rPr>
        <w:t>E. 1.1</w:t>
      </w:r>
    </w:p>
    <w:p>
      <w:r>
        <w:t>Der angefochtene Entscheid erging im Rahmen einer Strafuntersuchung und betrifft damit eine Strafsache im Sinne von Art. 78 Abs. 1 BGG . Ein kantonales Rechtsmittel steht nicht zur Verfügung. Nach Art. 80 BGG in Verbindung mit Art. 130 Abs.1 BGG kann die Beschwerde in Strafsachen an das Bundesgericht - soweit die übrigen Eintretensvoraussetzungen erfüllt sind - auch gegen Entscheide einer nichtrichterlichen letzten kantonalen Instanz zulässig sein.</w:t>
      </w:r>
    </w:p>
    <w:p>
      <w:r>
        <w:rPr>
          <w:b/>
        </w:rPr>
        <w:t>E. 1.2</w:t>
      </w:r>
    </w:p>
    <w:p>
      <w:r>
        <w:t>Beim angefochtenen Entscheid handelt es sich um einen Zwischenentscheid, der das genannte Strafverfahren nicht abschliesst. Gegen Vor- und Zwischenentscheide, die weder die Zuständigkeit noch den Ausstand betreffen (vgl. Art. 92 BGG ), ist die Beschwerde ans Bundesgericht gemäss Art. 93 Abs. 1 BGG zulässig, wenn sie einen nicht wieder gutzumachenden Nachteil bewirken können (lit. a) oder - was hier von vornherein ausser Betracht fällt - wenn die Gutheissung der Beschwerde sofort einen Endentscheid herbeiführen und damit einen bedeutenden Aufwand an Zeit oder Kosten für ein weitläufiges Beweisverfahren ersparen würde (lit. b). Von einem nicht wieder gutzumachenden Nachteil wird gesprochen, wenn dieser auch durch ein nachfolgendes günstiges Urteil nicht oder nicht mehr vollständig behoben werden kann ( BGE 131 I 57 E. 1 S. 59). Im Verfahren der Beschwerde in Strafsachen muss der nicht wieder gutzumachende Nachteil im Sinne von Art. 93 Abs. 1 lit. a BGG nicht bloss tatsächlicher, sondern rechtlicher Natur sein ( BGE 133 IV 139 E. 4 S. 141). Dabei obliegt es dem Beschwerdeführer, detailliert darzutun, dass die Eintretensvoraussetzungen von Art. 93 BGG erfüllt sind, soweit deren Vorliegen nicht offensichtlich ist (vgl. dazu BGE 134 III 426 E. 1.2 S. 428; 133 III 629 E. 2.3.1 und 2.4.2 S. 632).</w:t>
      </w:r>
    </w:p>
    <w:p>
      <w:r>
        <w:rPr>
          <w:b/>
        </w:rPr>
        <w:t>E. 1.3</w:t>
      </w:r>
    </w:p>
    <w:p>
      <w:r>
        <w:t>Da die vorliegende Beschwerde in Anwendung von Art. 453 Abs. 1 StPO nach bisherigem Recht von den bisher zuständigen Behörden zu beurteilen ist, findet hier die bisherige, per 31. Dezember 2010 aufgehobene Strafprozessordnung des Kantons Zürich vom 4. Mai 1919 (aStPO/ZH; LS 321) Anwendung.</w:t>
      </w:r>
    </w:p>
    <w:p>
      <w:r>
        <w:t>Das Editionsbegehren der Staatsanwaltschaft stellt eine Aufforderung zur freiwilligen Herausgabe dar. Erst wenn der Betroffene ohne Grund die Herausgabe verweigert, greifen die strafprozessualen Zwangsmassnahmen Platz, das heisst, es kann eine Hausdurchsuchung und Beschlagnahme der beweisrelevanten Papiere erfolgen (vgl. § 103 aStPO/ZH). Widersetzt sich diesfalls der Inhaber der Papiere der Durchsuchung, so bewahrt die Untersuchungsbehörde sie versiegelt auf und holt den Entscheid des Bezirksgerichts darüber ein, ob die Untersuchung stattfinden darf. Der Inhaber der Papiere ist berechtigt, sein Siegel ebenfalls beizudrücken; macht er von diesem Recht Gebrauch, so ist ihm Gelegenheit zu geben, der Entsiegelung beizuwohnen (§ 101 aStPO/ZH).</w:t>
      </w:r>
    </w:p>
    <w:p>
      <w:r>
        <w:t>Vorliegend stand es dem Beschwerdeführer frei, die Editionsaufforderung nicht zu befolgen, und die Nichtbeachtung der Verfügung zog keine unmittelbare Sanktion nach sich. Eine Durchsuchung und Beschlagnahme hat bislang nicht stattgefunden. Nach der Rechtsprechung liegt in der Editionsaufforderung wie im Übrigen auch in der blossen Beschlagnahme und Versiegelung von Akten noch kein nicht wieder gutzumachender Nachteil rechtlicher Natur begründet, sofern eine richterliche Behörde über die Zulässigkeit der Entsiegelung entscheidet (vgl. Urteile 1B_354/2010 vom 31. Januar 2011 E. 1.3; 1P.80/1998 vom 1. April 1998 E. 1c; 1P.28/1998 vom 25. Februar 1998 E. 1b; siehe ferner Urteil 1B_351/2010 vom 14. Januar 2011 E. 1.3.3).</w:t>
      </w:r>
    </w:p>
    <w:p>
      <w:r>
        <w:t>Dass der angefochtene Rekursentscheid der Oberstaatsanwaltschaft einen nicht wieder gutzumachenden Nachteil im Sinne von Art. 93 Abs. 1 lit. a BGG bewirken könnte, ist damit nicht ersichtlich und wird vom Beschwerdeführer auch nicht dargelegt.</w:t>
      </w:r>
    </w:p>
    <w:p>
      <w:r>
        <w:rPr>
          <w:b/>
        </w:rPr>
        <w:t>E. 1.4</w:t>
      </w:r>
    </w:p>
    <w:p>
      <w:r>
        <w:t>Da der Beschwerdeführer der Editionsaufforderung nicht nachgekommen ist, können bei Vorliegen eines hinreichenden Tatverdachts eine Hausdurchsuchung angeordnet und beweisrelevante Aufzeichnungen beschlagnahmt werden. Diese Zwangsmassnahmen würden sich nach neuem Recht richten, werden doch gemäss Art. 448 Abs. 1 StPO in Verbindung mit Art. 449 Abs. 1 StPO Verfahren, die bei Inkrafttreten der StPO hängig sind, nach neuem Recht von den danach zuständigen Behörden geführt.</w:t>
      </w:r>
    </w:p>
    <w:p>
      <w:r>
        <w:t>Ordnet die zuständige Strafbehörde eine Durchsuchung und Beschlagnahme an, hat der Beschwerdeführer die Möglichkeit, die Siegelung der Aufzeichnungen zu verlangen ( Art. 248 Abs. 1 StPO ). Diesfalls kann die Strafbehörde innert 20 Tagen beim kantonalen Zwangsmassnahmengericht ( Art. 18 StPO ) ein Entsiegelungsgesuch stellen ( Art. 248 Abs. 2 StPO ), und das Zwangsmassnahmengericht hat innert Monatsfrist über die Entsiegelung zu entscheiden (Art. 248 Abs. 3 lit. a). Dem Zwangsmassnahmengericht kommt umfassende Kognition zu, sodass namentlich auch das Fehlen eines hinreichenden Tatverdachts erst im Entsiegelungsverfahren geltend zu machen ist (Urteil des Bundesgerichts 1B_354/2010 vom 31. Januar 2011 E. 1.4; Olivier Thormann/Beat Brechbühl, Basler Kommentar StPO, 2010, N. 61 zu Art. 248 StPO ). Dem Beschwerdeführer erwächst somit auch im Hinblick auf das mögliche weitere Vorgehen der Staatsanwaltschaft aus dem hier angefochtenen Entscheid kein nicht wieder gutzumachender rechtlicher Nachteil.</w:t>
      </w:r>
    </w:p>
    <w:p>
      <w:r>
        <w:rPr>
          <w:b/>
        </w:rPr>
        <w:t>E. 2</w:t>
      </w:r>
    </w:p>
    <w:p>
      <w:r>
        <w:t>Zusammenfassend ergibt sich, dass auf die Beschwerde nicht einzutreten ist. 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