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385/2020 vom 28. Juli 2020</w:t>
      </w:r>
    </w:p>
    <w:p>
      <w:r>
        <w:t>Bundesgericht, 2020-07-28, DE</w:t>
      </w:r>
    </w:p>
    <w:p>
      <w:r>
        <w:rPr>
          <w:b/>
        </w:rPr>
        <w:t xml:space="preserve">Quelle: </w:t>
      </w:r>
      <w:r>
        <w:t>https://mcp.opencaselaw.ch/entscheid/bger_1B_385_2020</w:t>
      </w:r>
    </w:p>
    <w:p>
      <w:r>
        <w:t>FR: TF 1B 385/2020 du 28 juillet 2020</w:t>
      </w:r>
    </w:p>
    <w:p>
      <w:r>
        <w:t>IT: TF 1B 385/2020 del 28 luglio 2020</w:t>
      </w:r>
    </w:p>
    <w:p>
      <w:pPr>
        <w:pStyle w:val="Heading2"/>
      </w:pPr>
      <w:r>
        <w:t>Regeste</w:t>
      </w:r>
    </w:p>
    <w:p>
      <w:r>
        <w:t>Haft | Strafprozess</w:t>
      </w:r>
    </w:p>
    <w:p>
      <w:pPr>
        <w:pStyle w:val="Heading2"/>
      </w:pPr>
      <w:r>
        <w:t>Erwägungen</w:t>
      </w:r>
    </w:p>
    <w:p>
      <w:r>
        <w:rPr>
          <w:b/>
        </w:rPr>
        <w:t>E. 1</w:t>
      </w:r>
    </w:p>
    <w:p>
      <w:r>
        <w:t>Das Obergericht des Kantons Zürich verurteilte A.________ am 26. Februar 2020 u.a. wegen vorsätzlicher Tötung in nicht selbst verschuldeter Schuldunfähigkeit zu einer Freiheitsstrafe von 22 Monaten und ordnete eine stationäre Massnahme im Sinn von Art. 59 StGB an. Dagegen ist beim Bundesgericht eine Beschwerde hängig (6B_360/2020). Am 6. Juli 2020 beantragte A.________ dem Obergericht, ihn aus der Sicherheitshaft zu entlassen. Dieses wies das Haftentlassungsgesuch mit Präsidialverfügung vom 9. Juli 2020 ab. Mit Beschwerde vom 24. Juli 2020 beantragt A.________, ihn, allenfalls unter Auferlegung von Ersatzmassnahmen, aus der Haft zu ent lassen.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Beschwerdeschrift erschöpft sich im Wesentlichen in einer auszugsweisen, mit Kommentaren des Beschwerdeführers versehenen Wiedergabe der angefochtenen Verfügung. Darin macht er etwa geltend, es gehe gar nicht um eine vorsätzliche, sondern um eine fahrlässige Tötung, und das Gutachten bzw. die gestützt darauf angeordnete stationäre Massnahme würden "bestritten". Mit solchen unbe legten Behauptungen vermag der Beschwerdeführer indessen nicht darzutun, inwiefern die angefochtene Verfügung Bundesrecht verletzt, und das ist auch nicht ersichtlich. Die Beschwerde genügt den gesetzlichen Begründungsanforderungen nicht. Darauf ist nicht einzutreten, und zwar, weil der Mangel offensichtlich ist, im vereinfachten Verfahren.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