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1B_385/2015 vom 2. November 2015</w:t>
      </w:r>
    </w:p>
    <w:p>
      <w:r>
        <w:t>Bundesgericht, 2015-11-02, DE</w:t>
      </w:r>
    </w:p>
    <w:p>
      <w:r>
        <w:rPr>
          <w:b/>
        </w:rPr>
        <w:t xml:space="preserve">Quelle: </w:t>
      </w:r>
      <w:r>
        <w:t>https://mcp.opencaselaw.ch/entscheid/bger_1B_385_2015</w:t>
      </w:r>
    </w:p>
    <w:p>
      <w:r>
        <w:t>FR: TF 1B_385/2015 du 2 novembre 2015</w:t>
      </w:r>
    </w:p>
    <w:p>
      <w:r>
        <w:t>IT: TF 1B_385/2015 del 2 novembre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1B_385/2015</w:t>
      </w:r>
    </w:p>
    <w:p>
      <w:r>
        <w:t>Urteil vom 2. November 2015</w:t>
      </w:r>
    </w:p>
    <w:p>
      <w:r>
        <w:t>I. öffentlich-rechtliche Abteilung</w:t>
      </w:r>
    </w:p>
    <w:p>
      <w:r>
        <w:t>Besetzung</w:t>
      </w:r>
    </w:p>
    <w:p>
      <w:r>
        <w:t>Bundesrichter Fonjallaz, Präsident,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Obergericht des Kantons Aargau, Beschwerdekammer in Strafsachen, Verfahrensleiter, Obere Vorstadt 38, 5000 Aarau.</w:t>
      </w:r>
    </w:p>
    <w:p>
      <w:r>
        <w:t>Gegenstand</w:t>
      </w:r>
    </w:p>
    <w:p>
      <w:r>
        <w:t>Strafverfahren; Nichtanhandnahmeverfügung; Kostenvorschuss,</w:t>
      </w:r>
    </w:p>
    <w:p>
      <w:r>
        <w:t>Beschwerde gegen die Verfügung vom 19. Oktober 2015 des Obergerichts des Kantons Aargau, Beschwerdekammer in Strafsachen, Verfahrensleiter.</w:t>
      </w:r>
    </w:p>
    <w:p>
      <w:r>
        <w:t>In Erwägung,</w:t>
      </w:r>
    </w:p>
    <w:p>
      <w:r>
        <w:t>dass A.________ gegen die Nichtanhandnahmeverfügung der Oberstaatsanwaltschaft des Kantons Aargau vom 1. Oktober 2015 Beschwerde erhob;</w:t>
      </w:r>
    </w:p>
    <w:p>
      <w:r>
        <w:t>dass die Beschwerdekammer in Strafsachen des Obergerichts des Kantons Aargau A.________ mit Verfügung vom 19. Oktober 2015 zur Leistung einer Sicherheit im Sinne von Art. 383 StPO aufforderte, unter der Androhung, dass sonst auf die Beschwerde nicht eingetreten werde;</w:t>
      </w:r>
    </w:p>
    <w:p>
      <w:r>
        <w:t>dass A.________ gegen diese Verfügung bzw. gegen die Beschwerdekammer in Strafsachen mit Eingabe vom 28. Oktober 2015 Beschwerde in Strafsachen ans Bundesgericht führt, welches davon abgesehen hat, Stellungnahmen einzuholen;</w:t>
      </w:r>
    </w:p>
    <w:p>
      <w:r>
        <w:t>dass die Beschwerdeführerin nicht ansatzweise darlegt, inwiefern die die Verfügung rechts- bzw. verfassungswidrig sein soll;</w:t>
      </w:r>
    </w:p>
    <w:p>
      <w:r>
        <w:t>dass sich aus der Beschwerde auch nicht ergibt, inwiefern die Beschwerdekammer in Strafsachen darüber hinaus rechts- bzw. verfassungswidrig gehandelt haben sollte;</w:t>
      </w:r>
    </w:p>
    <w:p>
      <w:r>
        <w:t>dass die Beschwerde somit den gesetzlichen Formerfordernissen ( Art. 42 Abs. 2 und Art. 106 Abs. 2 BGG ; BGE 136 I 65 E. 1.3.1 S. 68) nicht zu genügen vermag, weshalb auf sie nicht einzutreten ist;</w:t>
      </w:r>
    </w:p>
    <w:p>
      <w:r>
        <w:t>dass der genannte Mangel offensichtlich ist, weshalb über die Beschwerde im vereinfachten Verfahren nach Art. 108 Abs. 1 BGG entschieden werden kann;</w:t>
      </w:r>
    </w:p>
    <w:p>
      <w:r>
        <w:t>dass davon abgesehen werden kann, für das bundesgerichtliche Verfahren Kosten zu erheben (vgl. Art. 66 Abs. 1 BGG );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der Beschwerdeführerin und dem Obergericht des Kantons Aargau, Beschwerdekammer in Strafsachen, Verfahrensleiter, schriftlich mitgeteilt.</w:t>
      </w:r>
    </w:p>
    <w:p>
      <w:r>
        <w:t>Lausanne, 2. November 2015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Fonjallaz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