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1B_384/2015 vom 18. November 2015</w:t>
      </w:r>
    </w:p>
    <w:p>
      <w:r>
        <w:t>Bundesgericht, 2015-11-18, FR</w:t>
      </w:r>
    </w:p>
    <w:p>
      <w:r>
        <w:rPr>
          <w:b/>
        </w:rPr>
        <w:t xml:space="preserve">Quelle: </w:t>
      </w:r>
      <w:r>
        <w:t>https://mcp.opencaselaw.ch/entscheid/bger_1B_384_2015</w:t>
      </w:r>
    </w:p>
    <w:p>
      <w:r>
        <w:t>FR: TF 1B_384/2015 du 18 novembre 2015</w:t>
      </w:r>
    </w:p>
    <w:p>
      <w:r>
        <w:t>IT: TF 1B_384/2015 del 18 novembre 2015</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Le recours a été formé dans le délai fixé à l' art. 100 al. 1 LTF contre une décision prise en dernière instance cantonale ( art. 233 CPP et 80 LTF). Le recourant, dont le maintien en détention a été confirmé, a qualité pour agir (art. 81 al. 1 let. a et b ch. 1 LTF) et les conclusions présentées sont recevables au regard de l' art. 107 al. 2 LTF . Il y a donc lieu d'entrer en matière.</w:t>
      </w:r>
    </w:p>
    <w:p>
      <w:r>
        <w:rPr>
          <w:b/>
        </w:rPr>
        <w:t>E. 2</w:t>
      </w:r>
    </w:p>
    <w:p>
      <w:r>
        <w:t>Une mesure de détention provisoire ou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w:t>
      </w:r>
    </w:p>
    <w:p>
      <w:r>
        <w:t>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rPr>
          <w:b/>
        </w:rPr>
        <w:t>E. 3</w:t>
      </w:r>
    </w:p>
    <w:p>
      <w:r>
        <w:t>Compte tenu du jugement de première instance, le recourant ne nie pas l'existence de charges suffisantes, même s'il se défend d'avoir commis un homicide par négligence. Il ne conteste pas non plus l'existence d'un risque de fuite en soi. Il reproche cependant à l'instance précédente d'avoir surévalué l'intensité du danger de fuite en omettant de prendre en considération des éléments tangibles démontrant ses liens particulièrement forts avec Genève. Il lui fait aussi grief d'avoir nié l'aptitude et l'adéquation des mesures de substitution qu'il a proposées pour pallier le risque de fuite. Il se plaint d'une violation des art. 221 al. 1 let. a et 237 CPP .</w:t>
      </w:r>
    </w:p>
    <w:p>
      <w:r>
        <w:rPr>
          <w:b/>
        </w:rPr>
        <w:t>E. 3.1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 117 Ia 69 consid. 4a p. 70).</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 (let. a), la saisie des documents d'identité (let. b), l'assignation à résidence (let. c), l'obligation de se présenter régulièrement à un service administratif (let. d), l'obligation d'avoir un travail régulier (let. e).</w:t>
      </w:r>
    </w:p>
    <w:p>
      <w:r>
        <w:rPr>
          <w:b/>
        </w:rPr>
        <w:t>E. 3.2</w:t>
      </w:r>
    </w:p>
    <w:p>
      <w:r>
        <w:t>Le risque de fuite a été examiné par le Tribunal de céans il y a trois mois dans l'arrêt 1B_255/2015 du 12 août 2015 au considérant 4.</w:t>
      </w:r>
    </w:p>
    <w:p>
      <w:r>
        <w:t>Par rapport à la situation prévalant en août 2015, le recourant fait valoir des éléments nouveaux attestant de ses "attaches particulièrement fortes avec Genève". D'une part, il produit un contrat de travail conclu avec une société qui l'engage dès sa libération en qualité de serveur à plein temps dans un restaurant: il soutient ainsi être intégré professionnellement en Suisse. D'autre part, le recourant dispose désormais d'un logement à Genève à sa sortie de prison et produit une attestation d'amis acceptant de l'héberger. De plus, le recourant est attendu pour dispenser des cours de préparation physique dans le club D.________ trois soirs par semaine.</w:t>
      </w:r>
    </w:p>
    <w:p>
      <w:r>
        <w:t>Ces éléments attestent, il est vrai, des liens du recourant avec la Suisse. Ils apparaissent cependant insuffisants à faire admettre la faible intensité du risque de fuite. En effet, le recourant est de nationalité brésilienne. Quand bien même sa mère et sa soeur demeurent en Suisse, sa compagne et leurs trois enfants résident en France voisine. La tentation de fuir, ne serait-ce qu'en France voisine, ou d'entrer dans la clandestinité pour échapper à une condamnation est ainsi évidente. De plus, après la condamnation prononcée par le Tribunal correctionnel, la perspective de passer plusieurs années en prison apparaît désormais concrète, ce qui n'était pas forcément le cas auparavant (cf. ATF 139 IV 270 consid. 3.1).</w:t>
      </w:r>
    </w:p>
    <w:p>
      <w:r>
        <w:t>Quant aux mesures de substitution proposées, elles paraissent insuffisantes au regard de l'intensité du risque de fuite accentuée par la gravité de l'infraction et l'importante peine privative de liberté retenue en première instance. En effet, l'obligation de se présenter chaque jour à un poste de police, la saisie de ses documents d'identité, l'obligation de résider chez ses amis à Genève, l'interdiction de quitter le territoire suisse, l'obligation de travailler comme serveur et comme préparateur physique ne sont pas de nature à empêcher une personne dans la situation du recourant de franchir la frontière suisse. Le recourant admet d'ailleurs que le dépôt de son passeport brésilien met uniquement à néant "ses velléités de fuite lointaine". Ces mesures n'offrent aucune garantie particulière, faute de pouvoir exercer un contrôle efficace et sérieux quant à leur respect. Le recourant, condamné en première instance à une peine privative de liberté importante, possède en effet de sérieuses raisons de ne pas rester en Suisse.</w:t>
      </w:r>
    </w:p>
    <w:p>
      <w:r>
        <w:t>Quant à la caution de 3'000 euros qui proviendrait de l'argent économisé par sa compagne et lui, la cour cantonale a retenu à bon droit que son montant paraissait insuffisant compte tenu de l'importance de la peine encourue.</w:t>
      </w:r>
    </w:p>
    <w:p>
      <w:r>
        <w:t>Par ailleurs, il y a lieu de relever que la surveillance électronique préconisée par le recourant ne constitue pas en soi une mesure de substitution mais uniquement un moyen de contrôler l'exécution d'une telle mesure, en particulier une assignation à résidence (cf. arrêt 1B_461/2013 du 16 janvier 2014 consid. 4.3). S'il apparaît, comme en l'espèce, que cette dernière mesure n'est pas apte à prévenir le risque de fuite, la surveillance électronique, dépourvue en soi d'effet préventif, ne saurait être mise en oeuvre.</w:t>
      </w:r>
    </w:p>
    <w:p>
      <w:r>
        <w:t>Enfin, le recourant ne remet pas en cause la durée de la détention pour des motifs de sûreté, qui reste par ailleurs à ce jour proportionnée à la peine encourue. De surcroît, la durée de la détention pour des motifs de sûreté demeure limitée, puisque le procès en appel se tiendra le 10 décembre 2015.</w:t>
      </w:r>
    </w:p>
    <w:p>
      <w:r>
        <w:rPr>
          <w:b/>
        </w:rPr>
        <w:t>E. 3.3</w:t>
      </w:r>
    </w:p>
    <w:p>
      <w:r>
        <w:t>En définitive, la Cour de justice n'a pas violé le droit fédéral en considérant que le risque de fuite était intense et que les mesures de substitution proposées par l'intéressé n'étaient pas propres à limiter ce risque de façon déterminante.</w:t>
      </w:r>
    </w:p>
    <w:p>
      <w:r>
        <w:rPr>
          <w:b/>
        </w:rPr>
        <w:t>E. 4</w:t>
      </w:r>
    </w:p>
    <w:p>
      <w:r>
        <w:t>Le recours doit par conséquent être rejeté. Le recourant a demandé l'assistance judiciaire et les conditions en paraissent réunies ( art. 64 al. 1 LTF ). Il y a lieu de désigner Me Xavier-Marcel Copt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