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384/2011 vom 8. August 2011</w:t>
      </w:r>
    </w:p>
    <w:p>
      <w:r>
        <w:t>Bundesgericht, 2011-08-08, DE</w:t>
      </w:r>
    </w:p>
    <w:p>
      <w:r>
        <w:rPr>
          <w:b/>
        </w:rPr>
        <w:t xml:space="preserve">Quelle: </w:t>
      </w:r>
      <w:r>
        <w:t>https://mcp.opencaselaw.ch/entscheid/bger_1B_384_2011</w:t>
      </w:r>
    </w:p>
    <w:p>
      <w:r>
        <w:t>FR: TF 1B 384/2011 du 8 août 2011</w:t>
      </w:r>
    </w:p>
    <w:p>
      <w:r>
        <w:t>IT: TF 1B 384/2011 del 8 agosto 2011</w:t>
      </w:r>
    </w:p>
    <w:p>
      <w:pPr>
        <w:pStyle w:val="Heading2"/>
      </w:pPr>
      <w:r>
        <w:t>Regeste</w:t>
      </w:r>
    </w:p>
    <w:p>
      <w:r>
        <w:t>Sicherheitshaft | Strafprozess</w:t>
      </w:r>
    </w:p>
    <w:p>
      <w:pPr>
        <w:pStyle w:val="Heading2"/>
      </w:pPr>
      <w:r>
        <w:t>Erwägungen</w:t>
      </w:r>
    </w:p>
    <w:p>
      <w:r>
        <w:rPr>
          <w:b/>
        </w:rPr>
        <w:t>E. 1</w:t>
      </w:r>
    </w:p>
    <w:p>
      <w:r>
        <w:t>Die Sachurteilsvoraussetzungen von Art. 78 ff. BGG (vgl. dazu zur amtlichen Publikation bestimmtes Urteil des Bundesgerichtes 1B_277/2011 vom 28. Juni 2011 E. 1.1) sind im vorliegenden Fall grundsätzlich erfüllt.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(zur amtlichen Publikation bestimmtes Urteil 1B_277/2011 vom 28. Juni 2011 E. 1.2).</w:t>
      </w:r>
    </w:p>
    <w:p>
      <w:r>
        <w:rPr>
          <w:b/>
        </w:rPr>
        <w:t>E. 2</w:t>
      </w:r>
    </w:p>
    <w:p>
      <w:r>
        <w:t>Der Beschwerdeführer wendet sich gegen die Annahme von Wiederholungsgefahr. Dieser besondere Haftgrund liegt vor, wenn ernsthaft zu befürchten ist, dass die beschuldigte Person durch schwere Verbrechen oder Vergehen die Sicherheit anderer erheblich gefährdet, nachdem sie bereits früher gleichartige Straftaten verübt hat ( Art. 221 Abs. 1 lit. c StPO ).</w:t>
      </w:r>
    </w:p>
    <w:p>
      <w:r>
        <w:rPr>
          <w:b/>
        </w:rPr>
        <w:t>E. 2.1</w:t>
      </w:r>
    </w:p>
    <w:p>
      <w:r>
        <w:t>Nach der Praxis des Bundesgerichtes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 BGE 137 IV 13 E. 2.4-4 S. 17 ff. ; 135 I 71 E. 2.3 S. 73; je mit Hinweisen).</w:t>
      </w:r>
    </w:p>
    <w:p>
      <w:r>
        <w:rPr>
          <w:b/>
        </w:rPr>
        <w:t>E. 2.2</w:t>
      </w:r>
    </w:p>
    <w:p>
      <w:r>
        <w:t>Der Beschwerdeführer macht geltend, im vorliegenden Fall drohe keine schwere Delinquenz im Sinne des Gesetzes. Der blosse Tatverdacht von untersuchten Delikten genüge für die Annahme von Wiederholungsgefahr nicht. Schwere einschlägige Vortaten lägen nicht vor. Bei der Begründung des Haftgrundes habe die Vorinstanz ausserdem die Unschuldsvermutung verletzt sowie den Anspruch des Beschwerdeführers auf einen unabhängigen Haftrichter und auf rechtliches Gehör.</w:t>
      </w:r>
    </w:p>
    <w:p>
      <w:r>
        <w:rPr>
          <w:b/>
        </w:rPr>
        <w:t>E. 2.3</w:t>
      </w:r>
    </w:p>
    <w:p>
      <w:r>
        <w:t>Wie das Bundesgericht in BGE 137 IV 84 E. 3.2 S. 85 f. entschieden hat, entsprechen der deutsche und der italienische Wortlaut von Art. 221 Abs. 1 lit. c StPO ("schwere Verbrechen oder Vergehen"/"gravi crimini o delitti") weder der bisherigen Rechtsprechung noch dem Sinn und Zweck der Bestimmung. Gestützt auf den französischen Wortlaut ("des crimes ou des délits graves") können grundsätzlich auch drohende Verbrechen oder schwere Vergehen für die Annahme von Wiederholungsgefahr genügen (bestätigt im Urteil 1B_379/2011 vom 2. August 2011 E. 2.7-2.9; vgl. zum Ganzen MARC FORSTER, in: Basler Kommentar StPO, Basel 2011, Art. 220 N. 4-7, Art. 221 N. 10-13).</w:t>
      </w:r>
    </w:p>
    <w:p>
      <w:r>
        <w:rPr>
          <w:b/>
        </w:rPr>
        <w:t>E. 2.4</w:t>
      </w:r>
    </w:p>
    <w:p>
      <w:r>
        <w:t>Unter die für Wiederholungsgefahr relevanten schweren Vermögensdelikte fällt namentlich Raub (vgl. FORSTER, a.a.O., Art. 221 N. 15 Fn. 62, mit Hinweisen auf die Praxis; MARKUS HUG, in: Zürcher Kommentar StPO, Zürich 2010, Art. 221 N. 34; NIKLAUS SCHMID, Praxiskommentar StPO, Zürich 2009, Art. 221 N. 11). Bei Raub bzw. Raubversuch handelt es sich um ein Verbrechen mit Strafdrohung von bis zu zehn Jahren Freiheitsentzug (Art. 140 Ziff. 1 i.V.m. Art. 10 Abs. 2 StGB ). Für vollendeten Raubversuch sieht das Gesetz eine fakultative Strafmilderung vor ( Art. 22 Abs. 1 StGB ). Strafschärfend fiele im Falle einer Verurteilung die Gesetzeskonkurrenz mit dem Verbrechenstatbestand des einfachen Diebstahls ins Gewicht (vgl. Art. 49 i.V.m. Art. 139 Ziff. 1 StGB ). Konkret besteht gemäss den Anträgen der Staatsanwaltschaft in der Anklageschrift denn auch eine erhebliche Strafdrohung von 15 Monaten Freiheitsentzug (unbedingt).</w:t>
      </w:r>
    </w:p>
    <w:p>
      <w:r>
        <w:rPr>
          <w:b/>
        </w:rPr>
        <w:t>E. 2.5</w:t>
      </w:r>
    </w:p>
    <w:p>
      <w:r>
        <w:t>Entgegen der Darstellung des Beschwerdeführers stützt die Vorinstanz die Annahme von Fortsetzungsgefahr nicht auf den blossen Tatverdacht der am 20. Mai 2011 zur Anklage gebrachten Delikte. Wie die Vorinstanz darlegt, wurde der Beschwerdeführer (gemäss Strafregisterauszug vom 22. März 2011) schon mehrfach strafrechtlich verurteilt. Neben diversen SVG-Delikten bestehen Vorstrafen wegen einfacher Körperverletzung und Tätlichkeiten (begangen 2006) sowie Raub und Hausfriedensbruch (begangen 2009). Dabei handelt es sich im Verhältnis zu den neu eingeklagten Delikten (Raubversuch, Diebstahl) um "gleichartige" Vortaten im Sinne des Gesetzes. Raub- und Gewaltdelikte sind aus der Sicht weiterer potenzieller Opfer im Übrigen auch als "erheblich sicherheitsgefährdend" (im Sinne des Gesetzes) einzustufen (vgl. Urteil des Bundesgerichtes 1B_379/2011 vom 2. August 2011 E. 2.9; FORSTER, a.a.O., Art. 221 N. 14-15, Fn. 57 und 62).</w:t>
      </w:r>
    </w:p>
    <w:p>
      <w:r>
        <w:rPr>
          <w:b/>
        </w:rPr>
        <w:t>E. 2.6</w:t>
      </w:r>
    </w:p>
    <w:p>
      <w:r>
        <w:t>Wegen des 2009 begangenen Raubes und Hausfriedensbruches wurde der Beschwerdeführer vom Bezirksgericht Zurzach am 27. Januar 2010 zu einer bedingten Freiheitsstrafe von 18 Monaten verurteilt, bei einer Probezeit von drei Jahren. Die Vorinstanz erwägt, gemäss Anklageschrift vom 20. Mai 2011 habe er sich trotz dieses Strafurteils mit deutlichem Warnungscharakter nicht davon abhalten lassen, weiterhin Alkohol in hohen Mengen zu konsumieren und noch während der laufenden Probezeit erneut einen Raubversuch (an einem Taxifahrer) sowie einen separaten Diebstahl zu begehen. Auch sein verharmlosendes Aussageverhalten lasse nicht auf ein Umdenken bzw. auf den Willen zu Verhaltensänderungen schliessen.</w:t>
      </w:r>
    </w:p>
    <w:p>
      <w:r>
        <w:rPr>
          <w:b/>
        </w:rPr>
        <w:t>E. 2.7</w:t>
      </w:r>
    </w:p>
    <w:p>
      <w:r>
        <w:t>Die Annahme von Wiederholungsgefahr durch die kantonalen Instanzen erweist sich bei dieser Sachlage als bundesrechtskonform.</w:t>
      </w:r>
    </w:p>
    <w:p>
      <w:r>
        <w:rPr>
          <w:b/>
        </w:rPr>
        <w:t>E. 2.8</w:t>
      </w:r>
    </w:p>
    <w:p>
      <w:r>
        <w:t>Der Beschwerdeführer rügt im genannten Zusammenhang zu Unrecht eine Verletzung der Unschuldsvermutung ( Art. 32 Abs. 1 BV , Art. 10 Abs. 1 StPO ) und des Anspruches auf einen unabhängigen Haftrichter (Art. 30 Abs. 1 i.V.m. 31 Abs. 4 BV). Wenn die Vorinstanz zur Begründung des erheblichen Rückfallrisikos auf die einschlägigen Vorstrafen des Angeklagten verweist und (angesichts der ihm in der Anklageschrift vorgeworfenen neuen gleichartigen Delikte) erwägt, er habe sich auch durch die früheren Urteile, Sanktionen und Zwangsmassnahmen "offenbar" nicht dazu anhalten lassen, seinen weiteren Lebenswandel (betreffend Alkoholkonsum und Neigung zu Kriminalität) zu überdenken, liegt darin keine bundesrechtswidrige Vorverurteilung. Dass sich die Vorinstanz mit verharmlosend wirkenden Einwendungen und Aussagen des Beschwerdeführers (wonach der überfallene Taxifahrer an "Paranoia" leide und die Täterschaft eine "Kügelipistole" verwendet habe) kritisch befasst, verletzt weder die Unschuldsvermutung, noch den Anspruch auf einen unabhängigen Haftrichter.</w:t>
      </w:r>
    </w:p>
    <w:p>
      <w:r>
        <w:rPr>
          <w:b/>
        </w:rPr>
        <w:t>E. 2.9</w:t>
      </w:r>
    </w:p>
    <w:p>
      <w:r>
        <w:t>Als offensichtlich unbegründet erweist sich schliesslich auch der Vorwurf der Verletzung des richterlichen Begründungsgebotes bzw. des rechtlichen Gehörs ( Art. 29 Abs. 2 BV ), soweit die Rüge überhaupt gesetzeskonform substanziiert erscheint (vgl. Art. 42 Abs. 2 Satz 1 i.V.m. Art. 106 Abs. 2 BV ). Den Erwägungen des angefochtenen Entscheides lassen sich die wesentlichen Gründe entnehmen, weshalb das Obergericht eine (befristete) Weiterdauer der Sicherheitshaft als bundesrechtskonform erachtete. Auch die Auseinandersetzung der Vorinstanz mit den wesentlichen Vorbringen des Beschwerdeführers hält vor der Verfassung stand.</w:t>
      </w:r>
    </w:p>
    <w:p>
      <w:r>
        <w:rPr>
          <w:b/>
        </w:rPr>
        <w:t>E. 3</w:t>
      </w:r>
    </w:p>
    <w:p>
      <w:r>
        <w:t>Die Beschwerde ist abzuweisen, soweit darauf eingetreten werden kann. Der Beschwerdeführer stellt ein Gesuch um unentgeltliche Prozessführung und Rechtsverbeiständung. Da die gesetzlichen Voraussetzungen erfüllt sind, ist dem Ersuchen zu entsprechen (vgl. Art. 64 BGG ). Das vor Bundesgericht hängige separate Beschwerdeverfahren betreffend Wechsel der Offizialverteidigerin (Verfahren 1B_344/2011) wird vom vorliegenden Entscheid betreffend unentgeltliche Rechtsverbeiständung (im Haftbeschwerdeverfahren vor Bundesgericht) nicht betroffen.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