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1B_384/2010 vom 9. Dezember 2010</w:t>
      </w:r>
    </w:p>
    <w:p>
      <w:r>
        <w:t>Bundesgericht, 2010-12-09, DE</w:t>
      </w:r>
    </w:p>
    <w:p>
      <w:r>
        <w:rPr>
          <w:b/>
        </w:rPr>
        <w:t xml:space="preserve">Quelle: </w:t>
      </w:r>
      <w:r>
        <w:t>https://mcp.opencaselaw.ch/entscheid/bger_1B_384_2010</w:t>
      </w:r>
    </w:p>
    <w:p>
      <w:r>
        <w:t>FR: TF 1B_384/2010 du 9 décembre 2010</w:t>
      </w:r>
    </w:p>
    <w:p>
      <w:r>
        <w:t>IT: TF 1B_384/2010 del 9 dicembre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Anordnung bzw. Fortsetzung von Untersuchungshaft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Für die Anordnung bzw. Fortsetzung von Untersuchungshaft ist nach zürcherischem Strafprozessrecht erforderlich, dass die beschuldigte Person eines Verbrechens oder Vergehens dringend verdächtigt wird und überdies Flucht-, Kollusions- oder Wiederholungsgefahr besteht (§ 58 Abs. 1 der Strafprozessordnung des Kantons Zürich vom 4. Mai 1919 [StPO/ZH; LS 321]).</w:t>
      </w:r>
    </w:p>
    <w:p>
      <w:r>
        <w:rPr>
          <w:b/>
        </w:rPr>
        <w:t>E. 3.1</w:t>
      </w:r>
    </w:p>
    <w:p>
      <w:r>
        <w:t>Der Beschwerdeführer bestreitet das Vorliegen eines dringenden Tatverdachts. Er behauptet, davon ausgegangen zu sein, mit einer erwachsenen Person zu chatten.</w:t>
      </w:r>
    </w:p>
    <w:p>
      <w:r>
        <w:rPr>
          <w:b/>
        </w:rPr>
        <w:t>E. 3.2</w:t>
      </w:r>
    </w:p>
    <w:p>
      <w:r>
        <w:t>Das Bundesgericht hat bei der Überprüfung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 Raum für ausgedehnte Beweismassnahmen. Zur Frage des dringenden Tatverdachts hat das Haftgericht weder ein eigentliches Beweisverfahren durchzuführen, noch dem erkennenden Strafgericht vorzugreifen. Vorbehalten bleibt allenfalls die Abnahme eines liquiden Alibibeweises (vgl. BGE 124 I 208 E. 3 S. 210 mit Hinweisen; Urteil 1B_330/2009 vom 2. Dezember 2009 E. 3).</w:t>
      </w:r>
    </w:p>
    <w:p>
      <w:r>
        <w:rPr>
          <w:b/>
        </w:rPr>
        <w:t>E. 3.3</w:t>
      </w:r>
    </w:p>
    <w:p>
      <w:r>
        <w:t>Das Vorbringen des Beschwerdeführers erscheint als blosse Schutzbehauptung. Gemäss dem im Polizeirapport vom 7. Juli 2010 aufgezeichneten Chatprotokoll fragte der Beschwerdeführer das "zuerigirl" nach dessen Alter. Trotz der Antwort "13ni!" setzte der Beschwerdeführer den Chat fort und lenkte diesen auf das Thema Sex. Die Vorinstanz hat den dringenden Tatverdacht damit zu Recht bejaht. Der in diesem Zusammenhang vom Beschwerdeführer erhobene Einwand, der involvierte Polizist habe als "agent provocateur" agiert, vermag diese Einschätzung nicht in Frage zu stellen.</w:t>
      </w:r>
    </w:p>
    <w:p>
      <w:r>
        <w:rPr>
          <w:b/>
        </w:rPr>
        <w:t>E. 4.1</w:t>
      </w:r>
    </w:p>
    <w:p>
      <w:r>
        <w:t>Gemäss dem Haftentscheid besteht Wiederholungsgefahr im Sinne von § 58 Abs. 1 Ziff. 3 StPO /ZH, was vom Beschwerdeführer bestritten wird.</w:t>
      </w:r>
    </w:p>
    <w:p>
      <w:r>
        <w:rPr>
          <w:b/>
        </w:rPr>
        <w:t>E. 4.2</w:t>
      </w:r>
    </w:p>
    <w:p>
      <w:r>
        <w:t>§ 58 Abs. 1 Ziff. 3 StPO /ZH findet Anwendung, wenn der Angeschuldigte eines Verbrechens oder Vergehens dringend verdächtig ist und ausserdem aufgrund bestimmter Anhaltspunkte ernsthaft befürchtet werden muss, der Angeschuldigte werde, "nachdem er bereits zahlreiche Verbrechen oder erhebliche Vergehen verübt hat, erneut solche Straftaten begehen".</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w:t>
      </w:r>
    </w:p>
    <w:p>
      <w:r>
        <w:t>Nach der Rechtsprechung ist die Anordnung bzw. Fortsetzung von Untersuchungshaft wegen Wiederholungsgefahr verhältnismässig, wenn die Rückfallprognose sehr ungünstig ist und die zu befürchtenden Delikte von schwerer Natur sind. Die rein hypothetische Möglichkeit der Verübung weiterer Delikte sowie die Wahrscheinlichkeit, dass nur geringfügige Straftaten begangen werden, reichen dagegen nicht aus, um eine Präventivhaft zu begründen. Der Haftgrund der Wiederholungsgefahr ist restriktiv zu handhaben ( BGE 135 I 71 E. 2.3, 2.6 und 2.11 S. 73 ff. ; 133 I 270 E. 2.2 S. 276 mit Hinweisen). Die Untersuchungshaft ist durch mildere Massnahmen zu ersetzen, sofern sich der Haftzweck auch auf diese Weise erreichen lässt (vgl. § 58 Abs. 4 i.V.m. § 72 und 73 StPO /ZH).</w:t>
      </w:r>
    </w:p>
    <w:p>
      <w:r>
        <w:rPr>
          <w:b/>
        </w:rPr>
        <w:t>E. 4.3</w:t>
      </w:r>
    </w:p>
    <w:p>
      <w:r>
        <w:t>Der Beschwerdeführer weist zwei einschlägige Vorstrafen auf. Mit Urteil des Kreisgerichts IV Aarwangen-Wangen vom 6. März 2001 wurde er wegen sexuellen Handlungen mit einem Kind zu einer Gefängnisstrafe von zwölf Monaten, bedingt vollziehbar bei einer Probezeit von drei Jahren, verurteilt. Das Kantonsgericht Schwyz sprach ihn mit Urteil vom 29. November 2005 wegen sexuellen Handlungen mit einem Kind (mehrfache Begehung), Pornografie, Verabreichen gesundheitsgefährdender Stoffe an Kinder und Übertretungen des Betäubungsmittelgesetzes schuldig und bestrafte ihn mit einer Gefängnisstrafe von zehn Monaten und einer Busse von Fr. 100.--, wobei der Vollzug der Gefängnisstrafe zugunsten einer ambulanten Behandlung aufgeschoben wurde.</w:t>
      </w:r>
    </w:p>
    <w:p>
      <w:r>
        <w:t>Der Beschwerdeführer hat folglich mehrere erhebliche Vergehen im Sinne von § 58 Abs. 1 Ziff. 3 StPO /ZH verübt. Die entsprechende Voraussetzung für die Anordnung bzw. Fortsetzung von Untersuchungshaft ist erfüllt.</w:t>
      </w:r>
    </w:p>
    <w:p>
      <w:r>
        <w:rPr>
          <w:b/>
        </w:rPr>
        <w:t>E. 4.4</w:t>
      </w:r>
    </w:p>
    <w:p>
      <w:r>
        <w:t>Es stellt sich weiter die Frage, ob befürchtet werden muss, der Beschwerdeführer werde gemäss § 58 Abs. 1 Ziff. 3 StPO /ZH "erneut solche Straftaten begehen". Aus der gesetzlichen Formulierung ergibt sich, dass die bisher verübten Straftaten und die Delikte, welche der Beschwerdeführer im Fall eines Verzichts auf Haft wahrscheinlich begehen würde, gleichartig sein müssen (Andreas Donatsch/Niklaus Schmid, Kommentar zur Strafprozessordnung des Kantons Zürich, März 1996, § 58 StPO /ZH N. 51).</w:t>
      </w:r>
    </w:p>
    <w:p>
      <w:r>
        <w:t>Der Gutachter der Psychiatrischen Universitätsklinik Zürich kommt in der im Auftrag der Staatsanwaltschaft erstellten Gefährlichkeitsprognose vom 4. November 2010 zu folgenden Einschätzungen: Der Beschwerdeführer interessiere sich für relativ junge weibliche Sexualpartnerinnen, bei welchen lediglich Zeichen beginnender Reife zu erkennen seien. Der Besitz von kinderpornografischem Material zeige darüber hinaus auf, dass der Beschwerdeführer sich mit Betrachten von Bildern von Mädchen im Schutzalter sexuell stimuliere. Die absolvierte ambulante Therapie sei nicht explizit deliktorientiert ausgerichtet gewesen, so dass es nicht zu einer Erarbeitung effektiver rückfallpräventiver Strategien gekommen sei. Die Delinquenz bedingende Störung der Sexualpräferenz - diagnostisch spreche man von einer so genannten "Ephebophilie" - bestehe beim Beschwerdeführer fort. Bei solchen Störungen liege das Rückfallrisiko bei rund 50%. Prognostisch ungünstig ins Gewicht falle, dass der Beschwerdeführer mehrfach einschlägig vorbestraft sei. Hinzu komme, dass der Beschwerdeführer bei einer Entlassung in einen ausgesprochen unsicheren sozialen Empfangsraum zurückkehren müsste, da seine Ehefrau die Trennung und Scheidung beabsichtige und er über keinen gesicherten Arbeitsplatz und keine eigene Wohnung verfüge. Im Ergebnis sei die Wahrscheinlichkeit des zukünftigen Besitzes von kinderpornografischem Material als sehr hoch einzustufen. Mittel- bis langfristig sei ohne geeignete Intervention auch mit erneuten Missbrauchsdelikten an Mädchen zu rechnen.</w:t>
      </w:r>
    </w:p>
    <w:p>
      <w:r>
        <w:t>Das Gericht ist gemäss der Rechtsprechung des Bundesgerichts an die Auffassung des Experten gebunden, soweit es um Fachfragen geht und keine triftigen Gründe für eine abweichende Würdigung sprechen ( BGE 132 II 257 E. 4.4.1 S. 269 mit Hinweisen). Solche triftigen Gründe zeigt der Beschwerdeführer nicht auf. Dass der Gutachter in Bezug auf den Tatbestand der sexuellen Handlungen mit Kindern "lediglich" mittel- bis langfristig mit einem Rückfall rechnet und - wie vom Beschwerdeführer vorgebracht - die Situation Ende Januar 2011 mutmasslich gleich zu beurteilen sein dürfte wie im heutigen Zeitpunkt, ändert nichts daran, dass die Voraussetzungen zur Aufrechterhaltung der Untersuchungshaft erfüllt sind, zumal mit einer deliktsorientierten Therapie noch gar nicht begonnen wurde. Bei Sexualdelikten sind nach der bundesgerichtlichen Rechtsprechung aus Gründen des Opferschutzes keine hohen Anforderungen an die Wiederholungsgefahr zu stellen ( BGE 123 I 268 E. 2e S. 271; Urteile 1B_28/2010 vom 17. Februar 2010 E. 2.3.4 und 1B_349/2010 vom 9. November 2010 E. 2.3.3). Wenn die Vorinstanz unter Bezugnahme auf die Bewertung des psychiatrischen Gutachters in der Gefährlichkeitsprognose zusammenfassend folgert, es bestehe eine hohe Rückfallgefahr, so verletzt sie kein Bundesrecht. An dieser Beurteilung ändert nichts Entscheidendes, dass der Beschwerdeführer bei einer Entlassung aus der Haft auf die Unterstützung seiner Eltern zählen und in deren Haus wohnen könnte.</w:t>
      </w:r>
    </w:p>
    <w:p>
      <w:r>
        <w:rPr>
          <w:b/>
        </w:rPr>
        <w:t>E. 4.5</w:t>
      </w:r>
    </w:p>
    <w:p>
      <w:r>
        <w:t>Insgesamt sind damit die Voraussetzungen der Untersuchungshaft wegen Wiederholungsgefahr erfüllt. Eine mildere Massnahme kommt zurzeit nicht in Betracht. Die Fortsetzung der Untersuchungshaft ist sowohl nach dem anwendbaren kantonalen Strafprozessrecht als auch im Lichte von Art. 10 Abs. 2 i.V.m. Art. 31 BV und Art. 5 EMRK zulässig.</w:t>
      </w:r>
    </w:p>
    <w:p>
      <w:r>
        <w:rPr>
          <w:b/>
        </w:rPr>
        <w:t>E. 5</w:t>
      </w:r>
    </w:p>
    <w:p>
      <w:r>
        <w:t>Die Beschwerde ist vollumfänglich abzuweisen. Der Beschwerdeführer ist mittellos. Da die Untersuchungshaft einen schweren Eingriff in die persönliche Freiheit darstellt, konnte er sich zur Beschwerde veranlasst sehen. Das Gesuch um unentgeltliche Rechtspflege und Verbeiständung nach Art. 64 BGG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