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383/2020 vom 13. August 2020</w:t>
      </w:r>
    </w:p>
    <w:p>
      <w:r>
        <w:t>Bundesgericht, 2020-08-13, FR</w:t>
      </w:r>
    </w:p>
    <w:p>
      <w:r>
        <w:rPr>
          <w:b/>
        </w:rPr>
        <w:t xml:space="preserve">Quelle: </w:t>
      </w:r>
      <w:r>
        <w:t>https://mcp.opencaselaw.ch/entscheid/bger_1B_383_2020</w:t>
      </w:r>
    </w:p>
    <w:p>
      <w:r>
        <w:t>FR: TF 1B 383/2020 du 13 août 2020</w:t>
      </w:r>
    </w:p>
    <w:p>
      <w:r>
        <w:t>IT: TF 1B 383/2020 del 13 agosto 2020</w:t>
      </w:r>
    </w:p>
    <w:p>
      <w:pPr>
        <w:pStyle w:val="Heading2"/>
      </w:pPr>
      <w:r>
        <w:t>Regeste</w:t>
      </w:r>
    </w:p>
    <w:p>
      <w:r>
        <w:t>Prolongation de la 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dont le maintien en détention a été confirmé par la cour cantonale, laquelle a simultanément refusé de prononcer des mesures de substitution, a qualité pour recourir. Le recours a été formé en temps utile ( art. 100 al. 1 LTF ) contre une décision rendue par une autorité statuant en tant que dernière instance cantonale ( art. 80 LTF ) et les conclusions présentées sont recevables au regard de l' art. 107 al. 2 LTF . Partant, il y a lieu d'entrer en matière.</w:t>
      </w:r>
    </w:p>
    <w:p>
      <w:r>
        <w:rPr>
          <w:b/>
        </w:rPr>
        <w:t>E. 2</w:t>
      </w:r>
    </w:p>
    <w:p>
      <w:r>
        <w:t>Le recourant se plaint en premier lieu d'établissement manifestement inexact des faits. Il reproche à la cour cantonale de ne pas avoir tenu compte de certaines de ses allégations, s'agissant d'une part des contradictions entre les déclarations de la plaignante et celles des autres protagonistes, d'autre part des raisons pour lesquelles la plaignante pourrait prétendre faussement qu'elle a été violée. Se fondant sur cette argumentation, le recourant soutient sur le fond que les charges retenues à son encontre ne seraient pas suffisantes: les menaces proférées par le recourant ne reposeraient que sur un témoignage indirect; contrairement à ce que retient l'arrêt attaqué, la famille du recourant connaissait la relation de couple qu'entretenaient le recourant et sa belle-fille. Après avoir été surprise par sa belle-soeur, la recourante aurait pu décider d'accuser le recourant pour n'avoir pas à avouer une relation extra-conjugale de longue date, et afin de bénéficier du soutien de sa famille au Kosovo et de sa belle-famille en Suisse, ce qui lui permettrait en outre de divorcer de son mari. Il y aurait donc des raisons qui pourraient motiver la plaignante à accuser le recourant. Les contradictions émaillant ses déclarations affaibliraient encore la crédibilité de la plaignante: s'agissant du premier viol commis en 2004, la plaignante a indiqué n'avoir pas eu la force de crier, alors qu'elle aurait affirmé à un témoin qu'elle avait crié; lors de l'épisode de mai 2020 ayant précédé le dépôt de la plainte, la plaignante avait affirmé avoir manifesté de l'opposition alors que la fille du recourant aurait constaté le contraire. Les filles du recourant avaient aussi affirmé que la plaignante agissait avec son beau-père comme s'ils formaient un couple, certaines photographies ayant été déposées dans ce sens auprès du Tmc.</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144 II 281 consid. 3.6.2 p. 287 et les références citées).</w:t>
      </w:r>
    </w:p>
    <w:p>
      <w:r>
        <w:rPr>
          <w:b/>
        </w:rPr>
        <w:t>E. 2.2</w:t>
      </w:r>
    </w:p>
    <w:p>
      <w:r>
        <w:t>Pour qu'une personne soit placée en détention provisoire ou pour des motifs de sûreté, il doit exister à son égard des charges suffisantes ou des indices sérieux de culpabilité, susceptibles de fonder de forts soupçons d'avoir commis une infraction ( art. 221 al. 1 CPP ).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 ATF 143 IV 330 consid. 2.1 p. 333; 143 IV 316 consid. 3.1 et 3.2 p. 318).</w:t>
      </w:r>
    </w:p>
    <w:p>
      <w:r>
        <w:rPr>
          <w:b/>
        </w:rPr>
        <w:t>E. 2.3</w:t>
      </w:r>
    </w:p>
    <w:p>
      <w:r>
        <w:t>L'existence de relations sexuelles régulières durant toute la période considérée n'est pas contestée. Quant aux déclarations de la plaignante, elles constituent un élément à charge central que les diverses contradictions relevées par le recourant ne remettent pas fondamentalement en doute, quand bien même la plaignante pourrait être amenée ultérieurement à lever certaines incertitudes et à s'expliquer sur l'attitude qu'ont pu constater certains témoins. La cour cantonale n'a pas manqué de s'étonner de l'allégation de viol formulée 16 ans après le début des faits. La plaignante a toutefois expliqué que le recourant aurait formulé des menaces de mort à l'égard de son frère demeuré au Kosovo, la propension aux menaces et à la violence ayant d'ailleurs aussi été rapportée par les autres membres de la famille du recourant. La cour cantonale a retenu que l'on ne voyait pas ce qui pousserait la plaignante à prétendre faussement avoir été violée pendant toutes ces années. Le recourant estime que celle-ci pouvait ainsi obtenir le soutien de sa famille et quitter son mari. Il s'agit toutefois en l'état de simples hypothèses, alors que les menaces à l'égard du frère de la plaignante sont susceptibles d'expliquer de manière plausible et logique son silence. Contrairement à ce que soutient le recourant, l'enquête n'en est encore qu'à ses débuts et les éléments recueillis jusque-là apparaissent à ce stade suffisants. Les éléments de fait invoqués par le recourant pouvaient ainsi être écartés par la cour cantonale sans qu'il y ait arbitraire à ce sujet, et les charges pouvaient à juste titre être considérées comme suffisantes.</w:t>
      </w:r>
    </w:p>
    <w:p>
      <w:r>
        <w:rPr>
          <w:b/>
        </w:rPr>
        <w:t>E. 3</w:t>
      </w:r>
    </w:p>
    <w:p>
      <w:r>
        <w:t>Le recourant conteste ensuite l'existence d'un risque de fuite. Il relève qu'il vit en Suisse depuis près de quarante ans, et dispose actuellement d'un permis C. Il perçoit une rente AI ainsi que des prestations complémentaires. Il n'aurait plus de contacts au Kosovo.</w:t>
      </w:r>
    </w:p>
    <w:p>
      <w:r>
        <w:rPr>
          <w:b/>
        </w:rPr>
        <w:t>E. 3.1</w:t>
      </w:r>
    </w:p>
    <w:p>
      <w:r>
        <w:t>Conformément à l' art. 221 al. 1 let. a CPP ,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145 IV 503 consid. 2.2 p. 507). Le risque de fuite s'étend également au risque de se soustraire à la procédure pénale ou à la sanction prévisible en tombant dans la clandestinité à l'intérieur du pays ( ATF 143 IV 160 consid. 4.3 p. 167).</w:t>
      </w:r>
    </w:p>
    <w:p>
      <w:r>
        <w:rPr>
          <w:b/>
        </w:rPr>
        <w:t>E. 3.2</w:t>
      </w:r>
    </w:p>
    <w:p>
      <w:r>
        <w:t>La cour cantonale n'a pas méconnu l'ensemble des éléments relevés par le recourant, rappelant que celui-ci est installée en Suisse depuis près de quarante ans, titulaire d'un permis C et rentier AI. Elle relève toutefois que le recourant a conservé des liens étroits avec son pays d'origine puisqu'il s'y rend environ tous les trois ou quatre mois et y loge dans la maison de ses parents. Le recourant a aussi refusé de s'exprimer sur la propriété dont il aurait hérité au Kosovo. S'agissant de sa famille en Suisse, le recourant est désormais séparé de son épouse et ses relations avec ses enfants apparaissent pour le moins conflictuelles. Au vu de ces éléments et de la gravité des charges, le risque de fuite est indéniable.</w:t>
      </w:r>
    </w:p>
    <w:p>
      <w:r>
        <w:rPr>
          <w:b/>
        </w:rPr>
        <w:t>E. 4</w:t>
      </w:r>
    </w:p>
    <w:p>
      <w:r>
        <w:t>S'agissant du risque de collusion, le recourant relève que la plaignante a déjà été entendue et qu'une confrontation a eu lieu, les versions respectives des parties étant désormais connues. La plaignante se trouve actuellement dans un foyer et, si le recourant tentait néanmoins d'entrer en contact avec elle, elle ne manquerait pas de le faire savoir à l'autorité pénale. Il n'y aurait dès lors aucun risque d'influer sur l'instruction.</w:t>
      </w:r>
    </w:p>
    <w:p>
      <w:r>
        <w:rPr>
          <w:b/>
        </w:rPr>
        <w:t>E. 4.1</w:t>
      </w:r>
    </w:p>
    <w:p>
      <w:r>
        <w:t>Pour retenir l'existence d'un risque de collusion au sens de l' art. 221 al. 1 let. b CPP ,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 ATF 137 IV 122 consid. 4.2 p. 127 s.; 132 I 21 consid. 3.2 p. 23 s. et les références citées). Plus l'instruction se trouve à un stade avancé et les faits sont établis avec précision, plus les exigences relatives à la preuve de l'existence d'un risque de collusion sont élevées ( ATF 137 IV 122 consid. 4.2 p. 128; 132 I 21 consid. 3.2.2 p. 24).</w:t>
      </w:r>
    </w:p>
    <w:p>
      <w:r>
        <w:rPr>
          <w:b/>
        </w:rPr>
        <w:t>E. 4.2</w:t>
      </w:r>
    </w:p>
    <w:p>
      <w:r>
        <w:t>Même si le Ministère public a déjà recueilli les déclarations des parties et procédé à la confrontation de celles-ci, le recourant pourrait être tenté d'obtenir une rétractation de la partie plaignante dans la mesure où l'essentiel des charges repose sur ses déclarations. Ce risque est d'autant plus élevé que c'est, aux dires de la plaignante, grâce à des menaces que le recourant a pu obtenir son silence durant seize années. Les risques de fuite et de collusion justifiant à eux seuls le maintien en détention, il n'y a pas lieu d'examiner s'il existe un risque de passage à l'acte ou de réitération, comme l' a retenu le Tmc.</w:t>
      </w:r>
    </w:p>
    <w:p>
      <w:r>
        <w:rPr>
          <w:b/>
        </w:rPr>
        <w:t>E. 5</w:t>
      </w:r>
    </w:p>
    <w:p>
      <w:r>
        <w:t>Le recourant reproche enfin à la cour cantonale de ne pas avoir examiné sérieusement si les mesures de substitution proposées pouvaient permettre de prévenir les risques précités, ainsi qu'un éventuel risque de réitération. Il estime que l'obligation de motiver n'aurait pas été respectée sur ce point également. La proposition de loger chez C.________ en Valais, tout comme les interdictions d'entrer en contact avec la victime et de se rendre dans le canton de Genève, permettraient de pallier le risque de collusion, la plaignante pouvant d'ailleurs informer l'autorité en cas ce violation de ces obligations. Quant au dépôt des papiers d'identité et à l'obligation de se présenter régulièrement, ils permettraient de prévenir tout risque de fuite.</w:t>
      </w:r>
    </w:p>
    <w:p>
      <w:r>
        <w:rPr>
          <w:b/>
        </w:rPr>
        <w:t>E. 5.1</w:t>
      </w:r>
    </w:p>
    <w:p>
      <w:r>
        <w:t>Le principe de proportionnalité impose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dont le montant dépend de la gravité des actes reprochés au prévenu et de sa situation personnelle ( art. 238 al. 2 CPP ),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rPr>
          <w:b/>
        </w:rPr>
        <w:t>E. 5.2</w:t>
      </w:r>
    </w:p>
    <w:p>
      <w:r>
        <w:t>En présence d'un risque de fuite évident, une saisie des documents d'identité, une assignation à résidence - même assortie du port du bracelet électronique - et la présentation à un poste de police ne sont pas de nature à empêcher une personne de s'enfuir à l'étranger, voire de passer dans la clandestinité ( ATF 145 IV 503 consid. 3.2 p. 510 et 3.3.2 p. 512). S'agissant du dépôt des pièces d'identité, d'ailleurs, la mesure est sans effet en ce qui concerne les documents établis par un Etat étranger (arrêt 1B_168/2020 du 28 avril 2020 consid. 3.4). Les mesures proposées par le recourant sont donc impropres à prévenir le risque de fuite. Par ailleurs, le respect d'une interdiction d'entrer en contact avec la plaignante ne serait que difficilement vérifiable, le prévenu disposant de tous les moyens de communication pour contacter sans surveillance la plaignante, directement ou par l'intermédiaire d'un tiers. Si le recourant parvenait à exercer une pression telle que la plaignante soit amenée à se rétracter, il est peu vraisemblable que celle-ci en fasse état. Comme le relève la cour cantonale, l'expertise mise en oeuvre devrait permettre de déterminer l'emprise du recourant sur la plaignante et sa capacité de l'influencer. Le refus de mise en liberté moyennant des mesures de substitution apparaît ainsi conforme au droit fédéral. La décision attaquée est par ailleurs suffisamment motivée sur ces points, le recourant ayant été à même de la contester en connaissance de cause.</w:t>
      </w:r>
    </w:p>
    <w:p>
      <w:r>
        <w:rPr>
          <w:b/>
        </w:rPr>
        <w:t>E. 6</w:t>
      </w:r>
    </w:p>
    <w:p>
      <w:r>
        <w:t>Sur le vu de ce qui précède, le recours est rejeté. Le recourant a demandé l'octroi de l'assistance judiciaire. Les conditions y relatives étant réunies, cette requête doit être admise. Il y a donc lieu de désigner Me Laura Frija en tant qu'avocate d'office du recourant et de lui allouer une indemnité à titre d'honoraires, qui seront supportés par la caisse du Tribunal fédéral.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