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383/2019 vom 26. August 2019</w:t>
      </w:r>
    </w:p>
    <w:p>
      <w:r>
        <w:t>Bundesgericht, 2019-08-26, DE</w:t>
      </w:r>
    </w:p>
    <w:p>
      <w:r>
        <w:rPr>
          <w:b/>
        </w:rPr>
        <w:t xml:space="preserve">Quelle: </w:t>
      </w:r>
      <w:r>
        <w:t>https://mcp.opencaselaw.ch/entscheid/bger_1B_383_2019</w:t>
      </w:r>
    </w:p>
    <w:p>
      <w:r>
        <w:t>FR: TF 1B 383/2019 du 26 août 2019</w:t>
      </w:r>
    </w:p>
    <w:p>
      <w:r>
        <w:t>IT: TF 1B 383/2019 del 26 agosto 2019</w:t>
      </w:r>
    </w:p>
    <w:p>
      <w:pPr>
        <w:pStyle w:val="Heading2"/>
      </w:pPr>
      <w:r>
        <w:t>Regeste</w:t>
      </w:r>
    </w:p>
    <w:p>
      <w:r>
        <w:t>Sicherheitshaft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233 i.V.m. Art. 380 StPO und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bewirken kann. Die weiteren Sachurteilsvoraussetzungen sind ebenfalls erfüllt und geben zu keinen Bemerkungen Anlass.</w:t>
      </w:r>
    </w:p>
    <w:p>
      <w:r>
        <w:rPr>
          <w:b/>
        </w:rPr>
        <w:t>E. 2.1</w:t>
      </w:r>
    </w:p>
    <w:p>
      <w:r>
        <w:t>Gemäss Art. 221 Abs. 1 lit. c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Der Beschwerdeführer stellt den dringenden Tatverdacht nicht in Abrede. Er macht einzig geltend, es fehle am Haftgrund der Wiederholungsgefahr.</w:t>
      </w:r>
    </w:p>
    <w:p>
      <w:r>
        <w:rPr>
          <w:b/>
        </w:rPr>
        <w:t>E. 2.2</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Art. 221 Abs. 1 lit. c StPO ist entgegen dem deutschsprachigen Gesetzeswortlaut dahin auszulegen, dass "Verbrechen oder schwere Vergehen" drohen müssen. 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Unter Umständen kann Wiederholungsgefahr auch angenommen werden, wenn lediglich eine Vortat besteht. Erweisen sich die Risiken für mögliche Opfer als untragbar hoch, kann vom Vortatenerfordernis sogar ganz abgesehen werden ( BGE 143 IV 9 E. 2 S. 11 ff. mit Hinweisen).</w:t>
      </w:r>
    </w:p>
    <w:p>
      <w:r>
        <w:rPr>
          <w:b/>
        </w:rPr>
        <w:t>E. 2.3.1</w:t>
      </w:r>
    </w:p>
    <w:p>
      <w:r>
        <w:t>Am 25 Januar 2018 erstattete Dr. med. Thomas Claussen ein psychiatrisches Gutachten. Er führt aus, der Beschwerdeführer habe zur Zeit der Taten an einer eher schwergradig kombinierten Persönlichkeitsentwicklung gelitten mit schizoiden Zügen (wenige Tätigkeiten bereiteten Vergnügen, emotionale Kälte und Distanziertheit, geringe Fähigkeit, warme Gefühle anderen gegenüber zu zeigen, einzelgängerische Beschäftigungen, Mangel an Freunden und vertrauensvollen Bezugspersonen, deutlich mangelnde Sensibilität im Erkennen und Befolgen gesellschaftlicher Regeln), anakastischen Zügen (d.h. Zwangshaftigkeit mit übermässigen Zweifeln, übermässiger Beschäftigung mit Details, Rigidität und Eigensinn) sowie ängstlich-vermeidenden Zügen (Überzeugung seiner Minderwertigkeit). Aufgrund der sexuellen Aktivitäten des Beschwerdeführers mit Erniedrigungen und Fesseln (Besuche von Dominastudios) sei von einem Masochismus auszugehen. Oft verspürten die davon betroffenen Personen sowohl bei masochistischen als auch sadistischen Aktivitäten sexuelle Erregung. Es sei daher möglich, dass den Beschwerdeführer Gewaltdarstellungen interessierten, welche zu einem früheren Zeitpunkt bereits bei ihm gefunden worden seien. Anderseits könne dies auch erklären, weshalb er versucht habe, eine Person in seine Gewalt zu bringen und sie mit Tritten und Würgen angegriffen habe. Diagnostisch sei von einer (sado) masochistischen Störung der Sexualpräferenz auszugehen, die mit der Stufe 4 (fixiert und progredient) deutlich ausgeprägt sei.</w:t>
      </w:r>
    </w:p>
    <w:p>
      <w:r>
        <w:rPr>
          <w:b/>
        </w:rPr>
        <w:t>E. 2.3.2</w:t>
      </w:r>
    </w:p>
    <w:p>
      <w:r>
        <w:t>Der Beschwerdeführer ist wegen Gewaltpornografie vorbestraft. Das Regionalgericht verurteilte ihn erneut wegen solcher Pornografie. Der Beschwerdeführer ist insoweit geständig. Das Regionalgericht führt aus, bei den in Frage stehenden Bildern und Videos gehe es nicht mehr um leichte, einvernehmliche spielerische Gewalt, sondern um Szenen, die mit Gewalt, Schmerzen und Demütigungen in Zusammenhang stünden. Das Regionalgericht geht von harter Pornografie im Sinne von Art. 197 Abs. 4 StGB aus. Für die dem Beschwerdeführer zur Last gelegte Tat droht diese Bestimmung Freiheitsstrafe bis zu drei Jahren oder Geldstrafe an. Es handelt sich also um ein Vergehen ( Art. 10 Abs. 3 StGB ). Für die Unterscheidung zwischen schweren und minder schweren Vergehen ist nach der Rechtsprechung als Ausgangspunkt die abstrakte gesetzliche Strafdrohung massgeblich. Für die Annahme eines schweren Vergehens muss eine Freiheitsstrafe (bis zu drei Jahren) drohen. Vergehen wie etwa die Beschimpfung ( Art. 177 StGB ), bei denen das Gesetz keine Freiheitsstrafe, sondern ausschliesslich Geldstrafe androht, gelten als minder schwer und fallen für die Anordnung von Präventivhaft ausser Betracht. Nebst der abstrakten Strafdrohung sind das betroffene Rechtsgut und der Kontext zu berücksichtigen. Je höherwertiger ein geschütztes Rechtsgut ist, desto eher werden Eingriffe in dieses als schwer zu qualifizieren sein. Dem Kontext, insbesondere der konkret vom Beschuldigten ausgehenden Gefährlichkeit bzw. dem bei ihm vorhandenen Gewaltpotenzial, das aus den Umständen der Tatbegehung hervorgehen kann, ist ebenfalls Rechnung zu tragen, was sich je nachdem zu Lasten oder zu Gunsten des Beschuldigten auswirken kann. Diese Gefährlichkeit lässt sich aufgrund der früheren Straftaten, aber auch anhand der ihm neu vorgeworfenen Handlungen beurteilen, sofern mit genügender Wahrscheinlichkeit erstellt ist, dass er sie begangen hat ( BGE 143 IV 9 S. 2.6 S. 14 f. mit Hinweisen). Die Strafdrohung für Gewaltpornografie nach Art. 197 Abs. 4 StGB spricht für die Annahme eines schweren Vergehens. Es geht um die sexuelle Integrität und damit ein hochwertiges Rechtsgut. Das Regionalgericht hat den Beschwerdeführer wegen versuchter sexueller Nötigung und versuchter sexueller Handlungen mit einem Kind verurteilt. Dies deutet darauf hin, dass sich der Beschwerdeführer anschickte, Gewaltphantasien, welche durch das pornografische Material stimuliert wurden, gegenüber einem Kind auszuleben und stellt ein Indiz dar für die von ihm ausgehende Gefährlichkeit bzw. das bei ihm bestehende Gewaltpotenzial. Angesichts dessen ist die Gewaltpornografie, bei der namentlich zu sehen ist, wie Menschen mit Stromschlägen gequält wurden, als schweres Vergehen einzustufen. Bei den dem Beschwerdeführer zur Last gelegten Tatbeständen der versuchten sexuellen Handlungen mit einem Kind und der versuchten sexuellen Nötigung handelt es sich um Verbrechen (Art. 187 Ziff. 1 und Art. 189 Abs. 1 i.V.m. Art. 10 Abs. 2 und 22 Abs. 1 StGB). Nach der zutreffenden Ansicht der Vorinstanz dürfen diese als Vortat berücksichtigt werden, da die Beweislage erdrückend ist. Dass der Beschwerdeführer gegenüber dem Mädchen Gewalt angewandt hat, bestreitet er nicht. Die Automobilistin, welche angehalten hatte, sagte als Zeugin aus, sie habe den Beschwerdeführer und das Mädchen 2-3 Meter im Maisfeld angetroffen. Dass der Beschwerdeführer das Mädchen in das Maisfeld gezerrt hat, gab er in einer der Einvernahmen im Übrigen zu. Dass sich der Beschwerdeführer - wie er geltend macht - ohne jedes sexuelle Motiv so verhalten habe und es sich bei der körperlichen Auseinandersetzung mit dem Mädchen nur um den missglückten Versuch gehandelt habe, sich bei diesem für den Zusammenstoss mit dem Fahrrad zu entschuldigen, erscheint schwer glaubhaft. Es kann insoweit auf die einlässliche Beweiswürdigung des Regionalgerichts verwiesen werden (Urteil S. 7 ff., insb. S. 19 ff.). Die Vorinstanz hat demnach das Vortatenerfordernis zu Recht als erfüllt betrachtet.</w:t>
      </w:r>
    </w:p>
    <w:p>
      <w:r>
        <w:rPr>
          <w:b/>
        </w:rPr>
        <w:t>E. 2.3.3</w:t>
      </w:r>
    </w:p>
    <w:p>
      <w:r>
        <w:t>Nach den Darlegungen des Gutachters muss beim Beschwerdeführer mit weiteren gleichartigen Verbrechen gegen die sexuelle Integrität gerechnet werden, d.h. gewalttätigem Verhalten gegenüber Kindern. Die Sicherheit anderer ist somit erheblich gefährdet. Nach Ansicht des Gutachters besteht eine hohe Rückfallgefahr.</w:t>
      </w:r>
    </w:p>
    <w:p>
      <w:r>
        <w:rPr>
          <w:b/>
        </w:rPr>
        <w:t>E. 2.3.4</w:t>
      </w:r>
    </w:p>
    <w:p>
      <w:r>
        <w:t>Unter diesen Umständen durfte die Vorinstanz Wiederholungsgefahr nach Art. 221 Abs. 1 lit. c StPO bejahen; dies umso mehr, als es sich bei möglichen künftigen Opfern um Kinder handelt, die besonders schutzbedürftig sind ( BGE 143 IV 9 E. 2.7 S. 15). Der angefochtene Entscheid verletzt kein Bundesrecht.</w:t>
      </w:r>
    </w:p>
    <w:p>
      <w:r>
        <w:rPr>
          <w:b/>
        </w:rPr>
        <w:t>E. 3</w:t>
      </w:r>
    </w:p>
    <w:p>
      <w:r>
        <w:t>Die Beschwerde ist daher abzuweisen.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