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1B_382/2021 vom 30. Juli 2021</w:t>
      </w:r>
    </w:p>
    <w:p>
      <w:r>
        <w:t>Bundesgericht, 2021-07-30, DE</w:t>
      </w:r>
    </w:p>
    <w:p>
      <w:r>
        <w:rPr>
          <w:b/>
        </w:rPr>
        <w:t xml:space="preserve">Quelle: </w:t>
      </w:r>
      <w:r>
        <w:t>https://mcp.opencaselaw.ch/entscheid/bger_1B_382_2021</w:t>
      </w:r>
    </w:p>
    <w:p>
      <w:r>
        <w:t>FR: TF 1B_382/2021 du 30 juillet 2021</w:t>
      </w:r>
    </w:p>
    <w:p>
      <w:r>
        <w:t>IT: TF 1B_382/2021 del 30 luglio 2021</w:t>
      </w:r>
    </w:p>
    <w:p>
      <w:pPr>
        <w:pStyle w:val="Heading2"/>
      </w:pPr>
      <w:r>
        <w:t>Erwägungen</w:t>
      </w:r>
    </w:p>
    <w:p>
      <w:r>
        <w:rPr>
          <w:b/>
        </w:rPr>
        <w:t>E. 1</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Die Einreichung einer Beschwerde setzt unter anderem ein aktuelles Rechtsschutzinteresse voraus, d. h., der Beschwerdeführer muss aus ihrer Gutheissung einen praktischen Nutzen ziehen können. Vorliegend hat die Anklagekammer im angefochtenen Entscheid die Haft gegen den Beschwerdeführer "einstweilen bis längstens 26. Juni 2021" angeordnet. Am 6. Juli 2021, als der Beschwerdeführer beim Bundesgericht Beschwerde erhob, war die umstrittene Haftanordnung in zeitlicher Hinsicht abgelaufen, an ihrer Aufhebung hatte der Beschwerdeführer damit kein Rechtsschutzinteresse mehr. Soweit sich die Beschwerde gegen die im angefochtenen Entscheid angeordnete, bereits abgelaufene Verlängerung der Untersuchungshaft richtet, ist darauf wegen fehlenden Rechtsschutzinteresses nicht einzutreten.</w:t>
      </w:r>
    </w:p>
    <w:p>
      <w:r>
        <w:t>Anders verhält es sich, soweit sich die Beschwerde gegen die Abweisung seines Ausstandsgesuches gegen den Zwangsmassnahmenrichter David Speich und die Staatsanwältin Simone Brandenberger richtet. Diese sind offenbar weiterhin in dieser Angelegenheit tätig, weshalb der Beschwerdeführer insofern ein aktuelles Rechtsschutzinteresse an der Beschwerde hat. Diesbezüglich erhebt er zwar eine ganze Reihe von Vorwürfen an die Adresse der Beiden, um deren (angebliche) Befangenheit darzulegen. Mit der Hauptbegründung der Anklagekammer, auf die Ausstandsgesuche sei nicht einzutreten, weil sie verspätet eingereicht worden seien (E. 2b und c S. 4f.), setzt er sich indessen unter Verletzung seiner Begründungspflicht (vgl. BGE 142 III 364 E. 2.4 S. 368 mit Hinweisen und BGE 143 IV 40 E. 3.4 S. 44) nicht sachgerecht auseinander. Auf die Beschwerde ist auch insoweit nicht einzutreten.</w:t>
      </w:r>
    </w:p>
    <w:p>
      <w:r>
        <w:t>Nicht Gegenstand des vorinstanzlichen Entscheids war eine allfällige Entschädigung für angeblich widerrechtliche Haft; diese Frage kann damit auch nicht Gegenstand des bundesgerichtlichen Verfahrens sein. Der Antrag auf eine Entschädigung für angeblich widerrechtliche Haft ist daher von vornherein unzulässig.</w:t>
      </w:r>
    </w:p>
    <w:p>
      <w:r>
        <w:rPr>
          <w:b/>
        </w:rPr>
        <w:t>E. 2</w:t>
      </w:r>
    </w:p>
    <w:p>
      <w:r>
        <w:t>Auf die Beschwerde ist damit im vereinfachten Verfahren nicht einzutreten. Auf die Erhebung von Gerichtskosten kann ausnahmsweise verzichtet werden, womit das Gesuch um unentgeltliche Rechtspflege hinfällig wird.</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