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1B_382/2020 vom 11. August 2020</w:t>
      </w:r>
    </w:p>
    <w:p>
      <w:r>
        <w:t>Bundesgericht, 2020-08-11, FR</w:t>
      </w:r>
    </w:p>
    <w:p>
      <w:r>
        <w:rPr>
          <w:b/>
        </w:rPr>
        <w:t xml:space="preserve">Quelle: </w:t>
      </w:r>
      <w:r>
        <w:t>https://mcp.opencaselaw.ch/entscheid/bger_1B_382_2020</w:t>
      </w:r>
    </w:p>
    <w:p>
      <w:r>
        <w:t>FR: TF 1B_382/2020 du 11 août 2020</w:t>
      </w:r>
    </w:p>
    <w:p>
      <w:r>
        <w:t>IT: TF 1B_382/2020 del 11 agosto 2020</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1.2</w:t>
      </w:r>
    </w:p>
    <w:p>
      <w:r>
        <w:t>Le recourant requiert la production des procès-verbaux d'audition et de confrontation des 25 juin et 5 juillet 2020. Il n'y a pas lieu de donner suite à sa requête dès lors que ces pièces sont postérieures au prononcé de l'arrêt entrepris et sont donc irrecevables (cf. art. 99 al. 1 LTF ). Le recourant n'expose au demeurant pas en quoi ces pièces seraient déterminantes dans le cas d'espèce. Cela étant, il lui appartiendra, le cas échéant, de faire valoir les moyens qui découleraient de ces pièces dans le cadre d'une nouvelle requête de mise en liberté ou d'une procédure de prolongation de la détention.</w:t>
      </w:r>
    </w:p>
    <w:p>
      <w:r>
        <w:rPr>
          <w:b/>
        </w:rPr>
        <w:t>E. 2</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En tout état de cause, la détention avant jugement ne doit pas durer plus longtemps que la peine privative de liberté prévisible ( art. 212 al. 3 CPP ).</w:t>
      </w:r>
    </w:p>
    <w:p>
      <w:r>
        <w:rPr>
          <w:b/>
        </w:rPr>
        <w:t>E. 3</w:t>
      </w:r>
    </w:p>
    <w:p>
      <w:r>
        <w:t>Le recourant ne conteste pas l'existence de charges suffisantes à son encontre. En revanche, il fait grief à la cour cantonale d'avoir retenu l'existence d'un risque de collusion.</w:t>
      </w:r>
    </w:p>
    <w:p>
      <w:r>
        <w:rPr>
          <w:b/>
        </w:rPr>
        <w:t>E. 3.1</w:t>
      </w:r>
    </w:p>
    <w:p>
      <w:r>
        <w:t>Conformément à l' art. 221 al. 1 let. b CPP ,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w:t>
      </w:r>
    </w:p>
    <w:p>
      <w:r>
        <w:t>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 ATF 137 IV 122 consid. 4.2 p. 127 s.; 132 I 21 consid. 3.2 p. 23 s. et les références citées; cf. également arrêt 1B_560/2019 du 5 décembre 2019 consid. 2.1).</w:t>
      </w:r>
    </w:p>
    <w:p>
      <w:r>
        <w:t>Plus l'instruction se trouve à un stade avancé et les faits sont établis avec précision, plus les exigences relatives à la preuve de l'existence d'un risque de collusion sont élevées ( ATF 137 IV 122 consid. 4.2 p. 128; 132 I 21 consid. 3.2.2 p. 24; plus récemment arrêt 1B_560/2019 du 5 décembre 2019 consid. 2.1).</w:t>
      </w:r>
    </w:p>
    <w:p>
      <w:r>
        <w:rPr>
          <w:b/>
        </w:rPr>
        <w:t>E. 3.2</w:t>
      </w:r>
    </w:p>
    <w:p>
      <w:r>
        <w:t>La cour cantonale a tout d'abord constaté qu'il n'était pas possible à ce stade de la procédure de tenir compte du fait que l'ADN du recourant avait été retrouvé sur les lieux d'une autre attaque de fourgon. Cela étant, elle a considéré que le risque de collusion était toujours sérieux et concret en lien avec le brigandage de Chavornay. Elle a notamment exposé qu'il existait à ce stade de nombreuses zones d'ombre quant à la véritable implication du recourant, tous les protagonistes du braquage en cause n'ayant pas encore été appréhendés et le butin n'ayant pas été retrouvé. C.________, en particulier, était toujours en fuite. La cour cantonale a relevé que des investigations étaient actuellement en cours, qu'une nouvelle audition de D.________ incarcéré en France, ainsi que deux auditions de confrontation entre I.________, A.________ et deux personnes détenues en France (J.________ et D.________) devaient être réalisées, tout comme l'audition récapitulative avec chaque prévenu; dans ces circonstances, la cour cantonale a estimé qu'il était primordial d'éviter que le recourant, directement mis en cause par I.________, principal prévenu qui s'était lui-même auto-incriminé, et très proche de D.________, tente de compromettre la recherche de la vérité en mettant au point avec ses comparses une version des faits qui lui serait plus favorable ou qui serait plus favorable à un tiers. Le risque que le recourant interfère dans cette recherche de la vérité était d'autant plus important, selon la cour cantonale, que celui-ci avait déjà modifié sa version au fur et à mesure de ses auditions successives en fonction des éléments et des contradictions qui lui étaient soumises.</w:t>
      </w:r>
    </w:p>
    <w:p>
      <w:r>
        <w:t>Le recourant conteste cette appréciation. Il se contente cependant d'affirmer qu'il paraît difficile d'admettre qu'il soit en mesure de contacter deux des principaux protagonistes du brigandage (I.________ et D.________) afin d'entraver la manifestation de la vérité, compte tenu de la détention de ces derniers et de l'audience de confrontation ayant eu lieu le 9 juillet 2020. L'argumentation du recourant qui est pour le moins sommaire et qui se fonde en partie sur des éléments de fait postérieurs à l'arrêt attaqué et donc irrecevables (cf. consid. 1.2), ne permet pas de remettre en cause l'évaluation du risque de collusion opérée par l'instance précédente. Le recourant méconnaît en parti culier que le risque en question existe, non seulement avec I.________ et D.________, mais également avec d'autres personnes susceptibles d'avoir participé à l'attaque du fourgon. A ce stade de l'enquête et compte tenu de la gravité des faits reprochés au recourant - lesquels suggèrent l'existence d'une bande criminelle organisée, comme évoqué par le Tribunal de céans dans son arrêt du 7 février 2020 (1B_44/2020) -, il convient d'éviter que le recourant, dont l'implication exacte reste encore à définir, ne tente d'influencer, même de manière indirecte, les déclarations des différents protagonistes, et notamment de ceux n'ayant pas encore été identifiés et appréhendés. Dans ces conditions, l'instance précédente pouvait sans violer le droit considérer que le risque de collusion était toujours sérieux et concret.</w:t>
      </w:r>
    </w:p>
    <w:p>
      <w:r>
        <w:rPr>
          <w:b/>
        </w:rPr>
        <w:t>E. 4</w:t>
      </w:r>
    </w:p>
    <w:p>
      <w:r>
        <w:t>Le recourant invoque ensuite une violation de l' art. 237 al. 2 CPP et de son droit d'être entendu, en tant que l'instance précédente ne se serait pas prononcée sur toutes les mesures de substitution proposées.</w:t>
      </w:r>
    </w:p>
    <w:p>
      <w:r>
        <w:rPr>
          <w:b/>
        </w:rPr>
        <w:t>E. 4.1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et l'interdiction d'entretenir des relations avec certaines personnes (let. g).</w:t>
      </w:r>
    </w:p>
    <w:p>
      <w:r>
        <w:t>Tel qu'il est garanti par l' art. 29 al. 2 Cst. , le droit d'être entendu comprend notamment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 ATF 143 III 65 consid. 5.2 p. 70; 141 IV 244 consid. 1.2.1 p. 246).</w:t>
      </w:r>
    </w:p>
    <w:p>
      <w:r>
        <w:rPr>
          <w:b/>
        </w:rPr>
        <w:t>E. 4.2</w:t>
      </w:r>
    </w:p>
    <w:p>
      <w:r>
        <w:t>Le recourant soutient que la cour cantonale ne se serait pas prononcée sur certaines des mesures de substitution qu'il avait proposées, à savoir l'interdiction de prendre contact avec les coprévenus, le dépôt de ses papiers d'identité et l'assignation à résidence. Sa critique tombe à faux. En effet, la cour cantonale s'est expressément déterminée sur ces mesures. Elle a ainsi considéré qu'au vu de la gravité des faits reprochés et de l'implication du recourant dans le braquage litigieux, il était essentiel qu'il ne puisse pas interférer dans l'enquête en cours. Pour l'instance précédente, le simple engagement du recourant de ne pas entrer en contact de quelque manière que ce soit avec les autres prévenus et avec toutes les personnes entendues dans le cadre de la présente instruction pénale était manifestement insuffisant pour l'empêcher de communiquer, même indirectement, avec les autres protagonistes du braquage litigieux et de tenter de les influencer dans leurs déclarations, et le respect d'un tel engagement était totalement invérifiable. Par ailleurs, la cour cantonale a considéré que le dépôt des papiers d'identité du recourant et son assignation à résidence n'étaient à l'évidence pas de nature à empêcher efficacement toute prise de contact avec les autres prévenus et les personnes entendues dans le cadre de la présente enquête.</w:t>
      </w:r>
    </w:p>
    <w:p>
      <w:r>
        <w:t>Le raisonnement de l'instance précédente ne prête pas le flanc à la critique. En effet, les mesures proposées par le recourant (dépôt de ses papiers d'identité; assignation au domicile de sa soeur durant les premières semaines suivant sa libération, puis interdiction de quitter sa commune de domicile; interdiction d'évoquer la procédure en cause et de prendre contact avec quiconque en lien avec cette affaire; obligation de donner suite à toute convocation ou citation à comparaître; obligation de communiquer au Ministère public un numéro de téléphone) apparaissent insuffisantes au regard de la nature du risque de collusion constaté. Les considérations, émises par la Cour de céans dans l'arrêt du 7 février 2020, conservent d'ailleurs toute leur pertinence et l'on peut s'y référer. La seule perspective pour le recourant d'être à nouveau emprisonné et séparé de sa famille n'est pas susceptible de modifier cette appréciation, quoi qu'il en pense.</w:t>
      </w:r>
    </w:p>
    <w:p>
      <w:r>
        <w:rPr>
          <w:b/>
        </w:rPr>
        <w:t>E. 5</w:t>
      </w:r>
    </w:p>
    <w:p>
      <w:r>
        <w:t>Le recours doit par conséquent être rejeté. La demande d'assistance judiciaire doit être rejetée, faute de chances de succès ( art. 64 al. 1 LTF ). Eu égard à sa situation financière, il sera cependant exceptionnellement statué sans frais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