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1B_382/2018 vom 5. September 2018</w:t>
      </w:r>
    </w:p>
    <w:p>
      <w:r>
        <w:t>Bundesgericht, 2018-09-05, FR</w:t>
      </w:r>
    </w:p>
    <w:p>
      <w:r>
        <w:rPr>
          <w:b/>
        </w:rPr>
        <w:t xml:space="preserve">Quelle: </w:t>
      </w:r>
      <w:r>
        <w:t>https://mcp.opencaselaw.ch/entscheid/bger_1B_382_2018</w:t>
      </w:r>
    </w:p>
    <w:p>
      <w:r>
        <w:t>FR: TF 1B_382/2018 du 5 septembre 2018</w:t>
      </w:r>
    </w:p>
    <w:p>
      <w:r>
        <w:t>IT: TF 1B_382/2018 del 5 settembre 2018</w:t>
      </w:r>
    </w:p>
    <w:p>
      <w:pPr>
        <w:pStyle w:val="Heading2"/>
      </w:pPr>
      <w:r>
        <w:t>Erwägungen</w:t>
      </w:r>
    </w:p>
    <w:p>
      <w:r>
        <w:rPr>
          <w:b/>
        </w:rPr>
        <w:t>E. 1</w:t>
      </w:r>
    </w:p>
    <w:p>
      <w:r>
        <w:t>La Ire Cour de droit public du Tribunal fédéral est uniquement compétente pour se prononcer sur la conclusion du recours tendant à l'annulation du chiffre III du dispositif de l'arrêt attaqué qui ordonne le maintien du prénommé en détention pour des motifs de sûreté (art. 29 al. 3 du règlement du Tribunal fédéral du 20 novembre 2006 [RTF; RS 173.110.131]) (cause 1B_382/2018). Pour le reste, la cause est pendante devant la Cour de droit pénal du Tribunal fédéral ( art. 33 RTF ) (cause 6B_773/2018).</w:t>
      </w:r>
    </w:p>
    <w:p>
      <w:r>
        <w:rPr>
          <w:b/>
        </w:rPr>
        <w:t>E. 2</w:t>
      </w:r>
    </w:p>
    <w:p>
      <w:r>
        <w:t>Le recours en matière pénale ( art. 78 al. 1 LTF ) est ouvert contre les décisions rendues en matière pénale, dont font partie les décisions relatives à la détention pour des motifs de sûreté au sens des art. 229 ss CPP ( ATF 137 IV 22 consid. 1 p. 23). Selon l'art. 81 al. 1 let. a et b ch. 1 LTF, le prévenu - actuellement détenu - a qualité pour recourir.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3</w:t>
      </w:r>
    </w:p>
    <w:p>
      <w:r>
        <w:t>L'épouse du recourant a adressé spontanément une lettre au Tribunal fédéral le 12 août 2018. Ce courrier, pièce nouvelle postérieure à l'arrêt attaqué, doit être déclaré irrecevable ( art. 99 al. 1 LTF ).</w:t>
      </w:r>
    </w:p>
    <w:p>
      <w:r>
        <w:t>Par ailleurs, le Tribunal fédéral a reçu une copie d'un courrier du Président de la Chambre des recours pénale du Tribunal cantonal adressé à l'avocat du recourant, le 20 août 2018. Cette pièce, qui se rapporte à une procédure distincte et postérieure au présent recours du 10 août 2018 au Tribunal fédéral, n'a pas de portée dans le présent litige.</w:t>
      </w:r>
    </w:p>
    <w:p>
      <w:r>
        <w:rPr>
          <w:b/>
        </w:rPr>
        <w:t>E. 4</w:t>
      </w:r>
    </w:p>
    <w:p>
      <w:r>
        <w:t>La conversion d'une mesure ambulatoire en une mesure institutionnelle doit respecter les conditions prévues par l' art. 63b al. 5 CP ( ATF 143 IV 445 consid. 3.2 et 3.3 p. 448 s. et les références citées).</w:t>
      </w:r>
    </w:p>
    <w:p>
      <w:r>
        <w:t>Durant cette procédure de changement de sanction en défaveur du condamné, celui-ci peut être placé en détention pour des motifs de sûreté; les art. 221 et 229 ss CPP sont appliqués par analogie (cf. ATF 137 IV 333 consid. 2.2.2 p. 336; arrêt 1B_204/2018 du 15 mai 2018 consid. 1.3).</w:t>
      </w:r>
    </w:p>
    <w:p>
      <w:r>
        <w:t>Selon la jurisprudence, pour prononcer ou ordonner la continuation de la détention pour des motifs de sûreté, dans le cadre d'une procédure de changement de mesure, il n'est pas nécessaire de prouver l'existence de fort soupçon dès lors qu'il existe déjà un jugement de condamnation entré en force. En revanche, il convient d'établir que le prononcé d'une mesure institutionnelle est vraisemblable et qu'un motif de détention particulier existe (cf. ATF 137 IV 333 consid. 2.3.1 p. 337; arrêt 1B_548/2017 du 29 janvier 2018 consid. 3.2 et 3.3).</w:t>
      </w:r>
    </w:p>
    <w:p>
      <w:r>
        <w:t>L' art. 221 al. 1 let .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 ATF 143 IV 9 consid. 2.6 et 2.7 p. 14 s.).</w:t>
      </w:r>
    </w:p>
    <w:p>
      <w:r>
        <w:t>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rPr>
          <w:b/>
        </w:rPr>
        <w:t>E. 5</w:t>
      </w:r>
    </w:p>
    <w:p>
      <w:r>
        <w:t>En l'espèce, le recourant soutient que la vraisemblance d'une mesure institutionnelle n'est pas suffisamment établie et que le risque de récidive peut être contenu par la poursuite du traitement ambulatoire ( art. 63 CP ) dont il faisait l'objet. Cas échéant, il déclare être prêt à se soumettre à des mesures de substitution, compatibles avec l'exercice de ses nouvelles activités professionnelles.</w:t>
      </w:r>
    </w:p>
    <w:p>
      <w:r>
        <w:rPr>
          <w:b/>
        </w:rPr>
        <w:t>E. 5.1</w:t>
      </w:r>
    </w:p>
    <w:p>
      <w:r>
        <w:t>La cour cantonale a confirmé le maintien du recourant en détention pour des motifs de sûreté durant la procédure pendante de changement de mesure. Se fondant sur le raisonnement qu'elle a opéré en tant que juge du fond, elle a estimé que la poursuite du traitement ambulatoire était vouée à l'échec et n'était pas suffisante pour réduire le risque de récidive d'infractions graves que présentait le recourant.</w:t>
      </w:r>
    </w:p>
    <w:p>
      <w:r>
        <w:t>Elle a encore rappelé qu'au regard des déclarations du recourant à l'audience du 28 juin 2018, il y avait lieu de douter de la sincérité de l'engagement pris par ce dernier de poursuivre son suivi thérapeutique une fois libéré, dans la mesure où il avait déclaré être "complètement conscient de ce qu'[il avait] fait, [être] soigné et [être] prêt à sortir pour retrouver [sa] famille".</w:t>
      </w:r>
    </w:p>
    <w:p>
      <w:r>
        <w:rPr>
          <w:b/>
        </w:rPr>
        <w:t>E. 5.2</w:t>
      </w:r>
    </w:p>
    <w:p>
      <w:r>
        <w:t>Le recourant entend tirer argument de l'expertise psychiatrique du 13 novembre 2017, de laquelle il ressort que "d'un point de vue psychiatrique, le traitement approprié consiste en la poursuite de la psychothérapie" et que "le suivi psychothérapeutique mis en place jusqu'ici a pu faciliter une diminution de ses conduites impulsives et par conséquent aussi du risque de récidive dans des conduites délictuelles du spectre impulsif sexuel". Le recourant met encore en évidence un passage de l'expertise précitée dans lequel il est mentionné que "la poursuite du traitement ambulatoire entamé" est une possibilité de mise en oeuvre du traitement. Il se fonde enfin surtout sur la conclusion du complément d'expertise du 27 février 2018 indiquant qu'il existe "des chances de succès avec la poursuite du traitement ambulatoire pour ramener à un degré léger le risque de récidive".</w:t>
      </w:r>
    </w:p>
    <w:p>
      <w:r>
        <w:t>En revanche, le recourant passe sous silence que l'expert a estimé ne pas être en mesure de se prononcer sur le délai dans lequel il était prévisible que la poursuite du traitement ambulatoire ramène le risque de récidive à un degré léger ou le rende inexistant. L'expert a en outre considéré que le recourant présentait encore "un risque de récidive modéré à élevé pour des délits contre l'intégrité physique et sexuelle"; "les remises en question et les capacités d'élaboration que le travail thérapeutique [cherchait] à induire chez le recourant en relation avec ses actes délictuels se [trouvaient] encore dans une phase peu avancée". A cela s'ajoute que les actes reprochés au recourant sont des délits de violence contre l'intégrité corporelle et sexuelle, entraînant une mise en danger sérieuse de la sécurité d'autrui. Le recourant avait en outre déjà été condamné pour lésions corporelles simples le 28 décembre 2010 (à une peine pécuniaire de 30 jours-amende).</w:t>
      </w:r>
    </w:p>
    <w:p>
      <w:r>
        <w:t>Cela suffit, s'agissant de la détention pour des motifs de sûreté dans l'attente d'un arrêt au fond, pour rendre vraisemblable le prononcé d'une mesure institutionnelle à l'encontre de l'intéressé et pour établir le risque de récidive (soit les deux conditions prévues par la jurisprudence pour ordonner la détention pour des motifs de sûreté dans le cadre d'une procédure de changement de mesure, voir supra consid. 4). En l'état, l'appréciation du Tribunal cantonal n'apparaît ainsi pas contraire au droit fédéral.</w:t>
      </w:r>
    </w:p>
    <w:p>
      <w:r>
        <w:t>Pour le reste, le recourant cite la proposition de prolongation du traitement ambulatoire préconisée par l'Office d'exécution des peines datée du 12 juin 2018. Cette pièce ne figure pas au dossier et ni dans l'état de fait de l'arrêt attaqué; le recourant se plaint à cet égard d'établissement arbitraire des moyens de preuve (art. 97 al. 1 et 105 al. 2 LTF). Ce grief sera traité par la Cour de droit pénal qui examinera l'administration et l'appréciation des preuves. Quoi qu'il en soit, en l'état, cet élément n'est pas suffisant pour rendre invraisemblable le prononcé d'une mesure institutionnelle à l'encontre du recourant et entraîner sa mise en liberté immédiate.</w:t>
      </w:r>
    </w:p>
    <w:p>
      <w:r>
        <w:t>Enfin, le recourant soutient que sa libération immédiate devrait être ordonnée en raison de la composition erronée du Collège des Juges d'application des peines qui a ordonné son maintien en détention le 28 juin 2018. Ce grief d'ordre formel sera aussi traité par la Cour de droit pénal dans le recours au fond. Le recourant ne saurait obtenir par le biais de la demande de mise en liberté ce qu'il demande sur le fond (cf. ATF 119 V 503 consid. 3 p. 506).</w:t>
      </w:r>
    </w:p>
    <w:p>
      <w:r>
        <w:rPr>
          <w:b/>
        </w:rPr>
        <w:t>E. 5.3</w:t>
      </w:r>
    </w:p>
    <w:p>
      <w:r>
        <w:t>L'affirmation d'un risque de réitération dispense d'examiner s'il existe aussi un danger de fuite, au sens de l' art. 221 al. 1 let. a CPP .</w:t>
      </w:r>
    </w:p>
    <w:p>
      <w:r>
        <w:rPr>
          <w:b/>
        </w:rPr>
        <w:t>E. 5.4</w:t>
      </w:r>
    </w:p>
    <w:p>
      <w:r>
        <w:t>Conformément au principe de la proportionnalité ancré à l' art. 36 al. 3 Cst. , le juge de la détention doit examiner les possibilités de mettre en oeuvre d'autres solutions moins dommageables que la détention ( ATF 142 IV 367 consid. 2.1 p. 370; 141 IV 190 consid. 3.1 p. 192).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et/ou l'interdiction d'entretenir des relations avec certaines personnes (let. g). L' art. 237 al. 3 CPP précise que, pour surveiller l'exécution de ces mesures, le tribunal peut ordonner l'utilisation d'appareils techniques qui peuvent être fixés à la personne sous surveillance.</w:t>
      </w:r>
    </w:p>
    <w:p>
      <w:r>
        <w:t>En l'espèce, le recourant déclare être prêt à se soumettre à des mesures de substitution, compatibles avec l'exercice de ses nouvelles activités professionnelles, sans proposer une mesure concrète. Or il n'appartient pas au Tribunal fédéral de proposer en première instance des mesures de substitution. A ce stade, on ne voit toutefois pas quelles mesures de substitution seraient appropriées, dans la mesure où le fond du litige porte précisément sur la nature du traitement médical du recourant.</w:t>
      </w:r>
    </w:p>
    <w:p>
      <w:r>
        <w:rPr>
          <w:b/>
        </w:rPr>
        <w:t>E. 6</w:t>
      </w:r>
    </w:p>
    <w:p>
      <w:r>
        <w:t>Il s'ensuit que le recours portant sur le chiffre III du dispositif de l'arrêt du 20 juillet 2018 est rejeté.</w:t>
      </w:r>
    </w:p>
    <w:p>
      <w:r>
        <w:t>Le recourant a demandé l'octroi de l'assistance judiciaire ( art. 64 al. 1 LTF ). Les conditions y relatives étant réunies, il y a lieu d'admettre cette requête, de désigner Me Raphaël Mahaim en tant qu'avocat d'office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