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1B_382/2013 vom 18. Dezember 2013</w:t>
      </w:r>
    </w:p>
    <w:p>
      <w:r>
        <w:t>Bundesgericht, 2013-12-18, FR</w:t>
      </w:r>
    </w:p>
    <w:p>
      <w:r>
        <w:rPr>
          <w:b/>
        </w:rPr>
        <w:t xml:space="preserve">Quelle: </w:t>
      </w:r>
      <w:r>
        <w:t>https://mcp.opencaselaw.ch/entscheid/bger_1B_382_2013</w:t>
      </w:r>
    </w:p>
    <w:p>
      <w:r>
        <w:t>FR: TF 1B_382/2013 du 18 décembre 2013</w:t>
      </w:r>
    </w:p>
    <w:p>
      <w:r>
        <w:t>IT: TF 1B_382/2013 del 18 dicembre 2013</w:t>
      </w:r>
    </w:p>
    <w:p>
      <w:pPr>
        <w:pStyle w:val="Heading2"/>
      </w:pPr>
      <w:r>
        <w:t>Erwägungen</w:t>
      </w:r>
    </w:p>
    <w:p>
      <w:r>
        <w:rPr>
          <w:b/>
        </w:rPr>
        <w:t>E. 1</w:t>
      </w:r>
    </w:p>
    <w:p>
      <w:r>
        <w:t>Selon l' art. 78 al. 1 LTF , le recours est ouvert contre les décisions rendues en matière pénale, par quoi on entend toute décision fondée sur le droit pénal matériel ou sur le droit de procédure pénale ( ATF 133 IV 335 consid. 2 p. 337). Tel est le cas de la décision attaquée, relative au droit de visite du prévenu en détention.</w:t>
      </w:r>
    </w:p>
    <w:p>
      <w:r>
        <w:t>Le recourant a qualité pour agir ( art. 81 al. 1 LTF ). Le recours est également recevable au regard des art. 90 ss LTF , que l'on considère la décision attaquée comme finale (rendue au terme d'une procédure distincte de l'instruction pénale; art. 90 LTF ) ou comme une décision incidente causant un dommage irréparable ( art. 93 al. 1 LTF ). Le refus de toute visite des enfants du recourant porte en effet une atteinte immédiate et irréparable à son droit aux relations personnelles, quand bien même ces relations pourraient être rétablies par la suite.</w:t>
      </w:r>
    </w:p>
    <w:p>
      <w:r>
        <w:rPr>
          <w:b/>
        </w:rPr>
        <w:t>E. 2</w:t>
      </w:r>
    </w:p>
    <w:p>
      <w:r>
        <w:t>Le recourant se plaint d'une violation de l' art. 235 al. 1 CPP en relation avec les art. 8 CEDH , 13 et 36 Cst. Il estime avoir droit à un minimum de contact avec ses enfants. Le recourant reconnaît qu'il existe des divergences entre ses déclarations et celles de ses enfants, non pas sur l'acte principal, mais sur les circonstances l'ayant entouré. Il relève que les enfants ont été entendus à deux reprises, la seconde audition ayant été enregistrée. Leurs déclarations ont fait l'objet de procès-verbaux et d'une expertise de crédibilité; le recourant s'est pour sa part engagé à ne pas demander de troisième audition. Le recourant relève qu'il a déjà eu des entretiens téléphoniques avec ses enfants et qu'il n'a pas tenté de les influencer à ces occasions. Le risque de collusion serait purement théorique. Le conflit de loyauté ne constituerait pas non plus un obstacle au droit de visite. L'intérêt des enfants (qui n'ont plus vu leur père depuis bientôt un an et demi et ont manifesté le souhait de lui rendre visite) devrait prévaloir. Le droit de correspondre par écrit (le droit de téléphoner a été supprimé depuis l'arrêt attaqué) ne saurait remplacer les contacts personnels.</w:t>
      </w:r>
    </w:p>
    <w:p>
      <w:r>
        <w:rPr>
          <w:b/>
        </w:rPr>
        <w:t>E. 2.1</w:t>
      </w:r>
    </w:p>
    <w:p>
      <w:r>
        <w:t>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w:t>
      </w:r>
    </w:p>
    <w:p>
      <w:r>
        <w:t>La garantie de la liberté personnelle ( art. 10 al. 2 Cst. ) et le droit au respect de la vie privée et familiale (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 art. 36 Cst. , les restrictions à ce droit doivent reposer sur une base légale et ne pas aller au-delà de ce qui est nécessaire au but de l'incarcération ( ATF 119 Ia 505 consid. 3b p. 507; 118 Ia 64 consid. 2d p. 73). Les exigences inhérentes au but de la détention doivent être examinées dans chaque cas, les restrictions imposées pouvant être d'autant plus sévères que le risque, notamment de collusion, apparaît élevé ( ATF 118 Ia 64 consid. 2d p. 73 et les arrêts cités). Par analogie avec la détention provisoire, le risque de collusion doit, pour faire échec au droit de visite des proches, présenter une certaine vraisemblance ( ATF 123 I 31 consid. 3c p. 36, 117 Ia 257 consid. 4c p. 261), et l'autorité doit indiquer, au moins dans les grandes lignes, en quoi l'exercice de ce droit pourrait compromettre les résultats de l'enquête (cf. ATF 123 I 31 consid. 2b p. 33/34, 116 Ia 149 consid. 5 p. 152).</w:t>
      </w:r>
    </w:p>
    <w:p>
      <w:r>
        <w:rPr>
          <w:b/>
        </w:rPr>
        <w:t>E. 2.2</w:t>
      </w:r>
    </w:p>
    <w:p>
      <w:r>
        <w:t>L'arrêt attaqué satisfait à ces exigences. Les divergences entre les déclarations du recourant et celles de ses enfants ne portent pas sur des points de détail, mais sur des circonstances susceptibles d'aboutir à une qualification différente de l'infraction (assassinat au lieu de meurtre) et, par conséquent, au prononcé d'une peine nettement supérieure. Ses enfants, âgés de huit et dix ans, ont selon l'expert manifesté un extrême attachement à leur père et ont déclaré lui avoir pardonné. L'existence d'un conflit de loyauté n'est d'ailleurs pas contestée. Dès lors, même si le recourant n'a pas profité de ses contacts téléphoniques pour tenter de les influencer, il est à craindre qu'une rencontre en milieu carcéral suscite des sentiments propres à conduire les enfants (uniques témoins des faits) à revenir sur les déclarations qui incriminent le recourant. Dans un tel cas, l'autorité d'instruction ou de jugement ne pourrait en faire abstraction, même si le recourant a déclaré renoncer à une nouvelle audition.</w:t>
      </w:r>
    </w:p>
    <w:p>
      <w:r>
        <w:t>Le recourant n'a par ailleurs pas qualité pour invoquer l'intérêt présumé de ses enfants, actuellement représentés par un curateur qui s'oppose au droit de visite. Même s'il n'existe, selon le recourant "aucune contre-indication médicale" à une visite des enfants, rien ne démontre non plus que cela corresponde réellement à leur intérêt.</w:t>
      </w:r>
    </w:p>
    <w:p>
      <w:r>
        <w:rPr>
          <w:b/>
        </w:rPr>
        <w:t>E. 2.3</w:t>
      </w:r>
    </w:p>
    <w:p>
      <w:r>
        <w:t>Le recourant estime qu'une autorisation de visite sous surveillance aurait dû être accordée. L'association chargée de cette surveillance pourrait aussi s'assurer que la procédure pénale ne soit pas évoquée lors des rencontres. L'emploi du français (à l'exclusion du tamoul) pourrait être imposé.</w:t>
      </w:r>
    </w:p>
    <w:p>
      <w:r>
        <w:t>Comme le relève la cour cantonale, l'association précitée se limite à garantir un cadre sécurisant pour les enfants, sans se porter garante de l'attitude ou des paroles du prévenu. Elle n'a pas pour but de contrôler le contenu des échanges et ne serait d'ailleurs pas à même d'effectuer un tel contrôle puisqu'elle ne connaît pas l'objet et les enjeux de la procédure pénale. Même si la discussion avait lieu en français, une surveillance ne pourrait dès lors empêcher les propos ou les attitudes propres à influencer les enfants. Le grief doit dès lors lui aussi être rejeté.</w:t>
      </w:r>
    </w:p>
    <w:p>
      <w:r>
        <w:rPr>
          <w:b/>
        </w:rPr>
        <w:t>E. 3</w:t>
      </w:r>
    </w:p>
    <w:p>
      <w:r>
        <w:t>Compte tenu de ce qui précède, le recours doit être rejeté. Le recourant a demandé l'assistance judiciaire, et les conditions en paraissent réunies. Me Yaël Hayat est désignée comme avocate d'office, rétribuée par la caisse du Tribunal fédéral. L'octroi de l'assistance judiciaire dispense le recourant du paiement des frais judiciaires ( art. 64 al. 1 LTF ), mais non de l'indemnité de dépens allouée au curateur des enfants, qui s'est opposé avec succès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