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1B_380/2022 vom 28. Juli 2022</w:t>
      </w:r>
    </w:p>
    <w:p>
      <w:r>
        <w:t>Bundesgericht, 2022-07-28, DE</w:t>
      </w:r>
    </w:p>
    <w:p>
      <w:r>
        <w:rPr>
          <w:b/>
        </w:rPr>
        <w:t xml:space="preserve">Quelle: </w:t>
      </w:r>
      <w:r>
        <w:t>https://mcp.opencaselaw.ch/entscheid/bger_1B_380_2022</w:t>
      </w:r>
    </w:p>
    <w:p>
      <w:r>
        <w:t>FR: TF 1B_380/2022 du 28 juillet 2022</w:t>
      </w:r>
    </w:p>
    <w:p>
      <w:r>
        <w:t>IT: TF 1B_380/2022 del 28 luglio 2022</w:t>
      </w:r>
    </w:p>
    <w:p>
      <w:pPr>
        <w:pStyle w:val="Heading2"/>
      </w:pPr>
      <w:r>
        <w:t>Erwägungen</w:t>
      </w:r>
    </w:p>
    <w:p>
      <w:r>
        <w:rPr>
          <w:b/>
        </w:rPr>
        <w:t>E. 1</w:t>
      </w:r>
    </w:p>
    <w:p>
      <w:r>
        <w:t>Die Beschwerde richtet sich vorliegend gegen den kantonal letztinstanzlichen Beschluss des Obergerichts, mit welchem dieses das Verfahren betreffend die vom Beschwerdeführer beantragte Haftentlassung abgeschrieben hat. Der Abschreibungsbeschluss bringt das kantonale Verfahren prozessual zum Abschluss und ist als Endentscheid i.S.v. Art. 90 BGG zu qualifizieren. Dagegen steht grundsätzlich die Beschwerde in Strafsachen an das Bundesgericht offen ( Art. 78 ff. BGG ). Der Beschwerdeführer hat am vorinstanzlichen Verfahren teilgenommen und befindet sich nach wie vor in strafprozessualer Haft. Dass in der Zwischenzeit die Untersuchungshaft gegen ihn in Sicherheitshaft umgewandelt wurde, ändert nichts daran, dass er ein aktuelles Rechtsschutzinteresse an der Überprüfung der Haftvoraussetzungen hat (vgl. Urteil 1B_126/2014 vom 11. April 2014 E. 1; noch unter früherem kantonalen Prozessrecht: Urteile 1B_305/2008 vom 16. Dezember 2008 E. 1, 1B_262/2008 vom 28. Oktober 2008 E. 1). Er ist deshalb grundsätzlich zur Beschwerde berechtigt ( Art. 81 BGG ). Da auch die übrigen Sachurteilsvoraussetzungen erfüllt sind, ist auf die Beschwerde einzutreten.</w:t>
      </w:r>
    </w:p>
    <w:p>
      <w:r>
        <w:rPr>
          <w:b/>
        </w:rPr>
        <w:t>E. 2</w:t>
      </w:r>
    </w:p>
    <w:p>
      <w:r>
        <w:t>Wie von der Vorinstanz erwogen, wurde als Folge der gegen den Beschwerdeführer beim zuständigen Sachgericht erhobenen Anklage die Untersuchungshaft während dem hängigen Verfahren betreffend Haftentlassung gemäss Art. 220 Abs. 2 StPO in Sicherheitshaft umgewandelt. Entgegen der Auffassung der Vorinstanz ist dadurch das obergerichtliche Beschwerdeverfahren gegen den negativen Haftentlassungsentscheid des Zwangsmassnahmengerichts vom 17. Juni 2022 jedoch nicht gegenstandslos geworden. Der vorinstanzlichen Schlussfolgerung, wonach das Beschwerdeverfahren als erledigt abzuschreiben sei, da sich die Anordnung der Sicherheitshaft nunmehr auf eine andere rechtliche Grundlage stütze, kann nicht gefolgt werden. Entscheidend ist, dass sich der Beschwerdeführer nach wie vor in strafprozessualer Haft befindet und folglich ein Rechtsschutzinteresse an der Überprüfung der Haftvoraussetzungen hat (vgl. E. 1 hiervor). Ob es sich dabei um Untersuchungs- oder um Sicherheitshaft handelt, ist in diesem Zusammenhang unerheblich. Denn es handelt sich sowohl bei der Untersuchungs- als auch bei der Sicherheitshaft um strafprozessuale Haft, wobei die Voraussetzungen für deren Anordnung bzw. Verlängerung identisch sind. Sie darf nur angeordnet oder verlängert werden, sofern ein dringender Tatverdacht sowie ein besonderer Haftgrund vorliegt (vgl. Art. 221 Abs. 1 StPO , der ausdrücklich von Untersuchungs-</w:t>
      </w:r>
    </w:p>
    <w:p>
      <w:r>
        <w:t>und Sicherheitshaft spricht). Das Vorliegen dieser Voraussetzungen hätte die Vorinstanz aufgrund des vom Beschwerdeführer gestellten Haftentlassungsgesuchs überprüfen müssen, denn dessen Gesuch bzw. Beschwerde richtet sich gegen die strafprozessuale Haft als solche. Indem die Vorinstanz einen Abschreibungsbeschluss erlassen hat, ohne das Haftentlassungsgesuch bzw. die Beschwerde einer materiellen Beurteilung zu unterziehen, hat sie Bundesrecht verletzt. Die Sache ist daher an die Vorinstanz zur unverzüglichen Durchführung des Beschwerdeverfahrens und Prüfung des Haftentlassungsgesuchs zurückzuweisen.</w:t>
      </w:r>
    </w:p>
    <w:p>
      <w:r>
        <w:t>Im Übrigen hatte der Beschwerdeführer gemäss seinen unbestritten gebliebenen Ausführung offenbar keine Gelegenheit, sich zur Anordnung der Sicherheitshaft vernehmen zu lassen. Selbst wenn er sich hätte äussern können, wäre es dem Beschwerdeführer jedoch - insbesondere auch mit Blick auf das besondere Beschleunigungsgebot in Haftsachen ( Art. 5 Abs. 2 StPO ) - nicht zuzumuten, das Verfahren auf Haftentlassung bzw. Haftprüfungerneut von vorne in Gang zu setzen, indem er die Anordnung der Sicherheitshaft anfechten müsste.</w:t>
      </w:r>
    </w:p>
    <w:p>
      <w:r>
        <w:rPr>
          <w:b/>
        </w:rPr>
        <w:t>E. 3</w:t>
      </w:r>
    </w:p>
    <w:p>
      <w:r>
        <w:t>Die Beschwerde erweist sich damit als begründet. Der angefochtene Beschluss ist aufzuheben und die Sache zur unverzüglichen Prüfung des Haftentlassungsgesuchs an die Vorinstanz zurückzuweisen; insoweit ist die Beschwerde gutzuheissen. Dem Antrag des Beschwerdeführers auf sofortige Haftentlassung ist indes zum jetzigen Zeitpunkt keine Folge zu leisten; insofern ist die Beschwerde abzuweisen.</w:t>
      </w:r>
    </w:p>
    <w:p>
      <w:r>
        <w:t>Bei diesem Ausgang des Verfahrens sind keine Gerichtskosten zu erheben ( Art. 66 Abs. 1 und Abs. 4 BGG ). Der Kanton hat dem Vertreter des Beschwerdeführers eine Parteientschädigung zu bezahlen ( Art. 68 Abs. 1 und 2 BGG ).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