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1B_380/2021 vom 8. Juli 2021</w:t>
      </w:r>
    </w:p>
    <w:p>
      <w:r>
        <w:t>Bundesgericht, 2021-07-08, DE</w:t>
      </w:r>
    </w:p>
    <w:p>
      <w:r>
        <w:rPr>
          <w:b/>
        </w:rPr>
        <w:t xml:space="preserve">Quelle: </w:t>
      </w:r>
      <w:r>
        <w:t>https://mcp.opencaselaw.ch/entscheid/bger_1B_380_2021</w:t>
      </w:r>
    </w:p>
    <w:p>
      <w:r>
        <w:t>FR: TF 1B_380/2021 du 8 juillet 2021</w:t>
      </w:r>
    </w:p>
    <w:p>
      <w:r>
        <w:t>IT: TF 1B_380/2021 del 8 luglio 2021</w:t>
      </w:r>
    </w:p>
    <w:p>
      <w:pPr>
        <w:pStyle w:val="Heading2"/>
      </w:pPr>
      <w:r>
        <w:t>Erwägungen</w:t>
      </w:r>
    </w:p>
    <w:p>
      <w:r>
        <w:rPr>
          <w:b/>
        </w:rPr>
        <w:t>E. 1</w:t>
      </w:r>
    </w:p>
    <w:p>
      <w:r>
        <w:t>Im Strafverfahren der Staatsanwaltschaft Zürich-Limmat gegen A.________ wegen Sachbeschädigung etc. bestellte die Oberstaatsanwaltschaft am 25. November 2020 der Beschuldigten Rechtsanwalt B.________ als amtlichen Verteidiger. Diese Verfügung wurde RA B.________ am 27. November 2020 im Doppel, für sich und die Beschuldigte, zugestellt.</w:t>
      </w:r>
    </w:p>
    <w:p>
      <w:r>
        <w:t>Mit eigenhändiger Eingabe vom 17. Januar 2021 erhob A.________ Beschwerde beim Obergericht des Kantons Zürich mit dem Antrag, die Bestellung des amtlichen Verteidigers "für nichtig" zu erklären. Mit Beschluss vom 5. März 2021 trat das Obergericht auf die Beschwerde wegen Verspätung nicht ein. Zur Begründung führte es an, die angefochtene Verfügung sei RA B.________ am 27. November 2020 zugestellt und damit rechtmässig eröffnet worden. Am 17. Januar 2021, an dem A.________ Beschwerde erhoben habe, sei die 10-tägige Beschwerdefrist von Art. 396 Abs. 2 StPO daher bereits abgelaufen gewesen. Mit Beschwerde vom 8. April 2021 beantragt A.________, diesen Beschluss "für nichtig" zu erklären. Das Bundesgericht trat mit Urteil 1B_178/2021 vom 29. April 2021 auf die Beschwerde nicht ein.</w:t>
      </w:r>
    </w:p>
    <w:p>
      <w:r>
        <w:rPr>
          <w:b/>
        </w:rPr>
        <w:t>E. 2</w:t>
      </w:r>
    </w:p>
    <w:p>
      <w:r>
        <w:t>Mit Verfügung der Staatsanwaltschaft Zürich-Limmat vom 10. Mai 2021 wurde A.________ und ihr amtlicher Verteidiger zur Einvernahme auf den 21. und 28. Juni 2021 vorgeladen. A.________ erhob dagegen mit Eingabe vom 31. Mai 2021 persönlich Beschwerde. Die III. Strafkammer des Obergerichts des Kantons Zürich wies die Beschwerde mit Beschluss vom 10. Juni 2021 ab, soweit sie darauf eintrat.</w:t>
      </w:r>
    </w:p>
    <w:p>
      <w:r>
        <w:rPr>
          <w:b/>
        </w:rPr>
        <w:t>E. 3</w:t>
      </w:r>
    </w:p>
    <w:p>
      <w:r>
        <w:t>A.________ führt mit Eingabe vom 6. Juli 2021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der III. Strafkammer des Obergerichts überhaupt nicht auseinander. Sie vermag mit ihren Ausführungen nicht ansatzweise aufzuzeigen, inwiefern die Begründung der III. Strafkammer des Obergerichts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Mit dem vorliegenden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