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380/2020 vom 13. Januar 2021</w:t>
      </w:r>
    </w:p>
    <w:p>
      <w:r>
        <w:t>Bundesgericht, 2021-01-13, DE</w:t>
      </w:r>
    </w:p>
    <w:p>
      <w:r>
        <w:rPr>
          <w:b/>
        </w:rPr>
        <w:t xml:space="preserve">Quelle: </w:t>
      </w:r>
      <w:r>
        <w:t>https://mcp.opencaselaw.ch/entscheid/bger_1B_380_2020</w:t>
      </w:r>
    </w:p>
    <w:p>
      <w:r>
        <w:t>FR: TF 1B 380/2020 du 13 janvier 2021</w:t>
      </w:r>
    </w:p>
    <w:p>
      <w:r>
        <w:t>IT: TF 1B 380/2020 del 13 gennaio 2021</w:t>
      </w:r>
    </w:p>
    <w:p>
      <w:pPr>
        <w:pStyle w:val="Heading2"/>
      </w:pPr>
      <w:r>
        <w:t>Regeste</w:t>
      </w:r>
    </w:p>
    <w:p>
      <w:r>
        <w:t>Strafverfahren; Entsiegelung | Strafprozess</w:t>
      </w:r>
    </w:p>
    <w:p>
      <w:pPr>
        <w:pStyle w:val="Heading2"/>
      </w:pPr>
      <w:r>
        <w:t>Erwägungen</w:t>
      </w:r>
    </w:p>
    <w:p>
      <w:r>
        <w:rPr>
          <w:b/>
        </w:rPr>
        <w:t>E. 1</w:t>
      </w:r>
    </w:p>
    <w:p>
      <w:r>
        <w:t>Angefochten ist ein kantonal letztinstanzlicher Entscheid betreffend die Entsiegelung von Daten, die in einem Strafverfahren in Anwendung von Art. 246 ff. StPO sichergestellt wurden. Dagegen steht die Beschwerde in Strafsachen an das Bundesgericht gemäss Art. 78 ff. BGG offen. Es handelt sich um einen Zwischenentscheid, der einen nicht mehr korrigierbaren Eingriff in schutzwürdige Geheimnisinteressen des Beschwerdeführers mit sich bringen kann ( Art. 93 Abs. 1 lit. a BGG ). Der Beschwerdeführer macht insbesondere geltend, auf den Gegenständen befände sich Anwaltskorrespondenz sowie höchstpersönliche "Kommunikation" zwischen ihm und seiner Ex-Freundin. Damit droht ihm ein nicht wieder gutzumachender Nachteil (Urteil 1B_487/2020 vom 2. November 2020 E. 1 mit Hinweisen). Als Inhaber der sichergestellten Datenträger sowie der vom angefochtenen Entsiegelungsentscheid betroffenen Daten ist er zur Beschwerde legitimiert ( Art. 81 Abs. 1 BGG ).</w:t>
      </w:r>
    </w:p>
    <w:p>
      <w:r>
        <w:rPr>
          <w:b/>
        </w:rPr>
        <w:t>E. 2.1</w:t>
      </w:r>
    </w:p>
    <w:p>
      <w:r>
        <w:t>Der Beschwerdeführer ist der Auffassung, der angefochtene Entscheid sei bereits aus formellrechtlichen Gründen aufzuheben. Zur Begründung führt er aus, die Vorinstanz habe nicht nur einen blossen Zwischenentscheid gefällt und die Triage verfügt. Sie habe vielmehr angeordnet, dass die versiegelten Gegenstände "teilentsiegelt" würden. Zeitgleich habe sie verfügt, dass die sichergestellten Datenträger nach Ablauf der Rechtsmittelfrist durch eine sachverständige Person zur weiteren Bearbeitung aufbereitet und in einem zweiten Schritt auf Anwaltskorrespondenz durchsucht und die übrigen Daten der Staatsanwaltschaft zur Durchsuchung ausgehändigt würden. Ein solcher "hybrider" Entsiegelungsentscheid sei aber in Art. 248 StPO nicht vorgesehen und somit bundesrechtswidrig.</w:t>
      </w:r>
    </w:p>
    <w:p>
      <w:r>
        <w:rPr>
          <w:b/>
        </w:rPr>
        <w:t>E. 2.2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Zwangsmassnahmengericht im Entsiegelungsverfahren zu prüfen, ob schutzwürdige Geheimnisinteressen oder andere gesetzliche Entsiegelungshindernisse einer Durchsuchung entgegenstehen ( BGE 144 IV 74 E. 2.2 S. 77; 141 IV 77 E. 4.1 S. 81 mit Hinweisen). Der Entsiegelungsrichter darf die richterliche Triage der versiegelten Gegenstände bzw. die Aussonderung von geheimnisgeschützten Aufzeichnungen und Unterlagen nicht an die Staatsanwaltschaft oder an die Polizei delegieren. Wenn das Zwangsmassnahmengericht spezialisierte Polizeidienste oder externe Fachexperten (z.B. Informatiker) zur Unterstützung seiner Triage beiziehen will (vgl. Art. 248 Abs. 4 StPO ), hat es dafür zu sorgen, dass die betreffenden Personen nicht auf den Inhalt von (mutmasslich) geheimnisgeschützten Dateien zugreifen können ( BGE 142 IV 372 E. 3.1 S. 374 f.; 141 IV 77 E. 5.5.1 S. 84 f.; je mit Hinweisen). Einem Entsiegelungs- und Beschlagnahmeverbot unterliegen namentlich alle Unterlagen aus dem Verkehr der beschuldigten Person mit der Verteidigung (Art. 264 Abs. 1 lit. a i.V.m. Abs. 3 StPO).</w:t>
      </w:r>
    </w:p>
    <w:p>
      <w:r>
        <w:rPr>
          <w:b/>
        </w:rPr>
        <w:t>E. 2.3</w:t>
      </w:r>
    </w:p>
    <w:p>
      <w:r>
        <w:t>Nach Gesetzgebung und Bundesgerichtspraxis hat das Zwangsmassnahmengericht im Entsiegelungsverfahren gemäss Art. 248 StPO zu prüfen, ob die gesetzlichen Entsiegelungsvoraussetzungen erfüllt sind, insbesondere ob substanziierte schutzwürdige Geheimnisinteressen einer Entsiegelung entgegenstehen. Dies hat die Vorinstanz vorliegend nur teilweise getan. Sie hat zwar das Vorliegen der Entsiegelungsvoraussetzungen des hinreichenden Tatverdachts, der Verhältnismässigkeit der Entsiegelung sowie des Deliktskonnexes der versiegelten Gegenstände bejaht. Zudem hat sie geprüft, ob kein absolut geschütztes Geheimnis vorliege, welches einer Entsiegelung entgegenstünde. Ein solches hat sie sodann einzig in Bezug auf die geltendgemachte Anwaltskorrespondenz bejaht und erwogen, es sei eine Aussonderung dieser Korrespondenz durch den kantonalen Zwangsmassnahmenrichter vorzunehmen. Betreffend die vom Beschwerdeführer geltend gemachte, angeblich geheimnisgeschützte Kommunikation mit seiner Ex-Freundin hat die Vorinstanz indessen erwogen, er sei seiner Mitwirkungs- und Substanziierungsobliegenheit nicht nachgekommen, weshalb diesbezüglich von einer Triage abgesehen werden könne. Obschon die Vorinstanz mithin festgehalten hatte, es sei in Bezug auf die allenfalls vorhandene Anwaltskorrespondenz eine Triage durch den Zwangsmassnahmenrichter vorzunehmen, hat sie die ihr gesetzlich obliegende Aussonderung der durch das Anwaltsgeheimnis geschützten Unterlagen und Dateien bis zum Erlass des angefochtenen Entscheids unterlassen. Gemäss Dispositiv-Ziffer 1 dieses Entscheids will sie die Triage erst nach Ablauf der Rechtsmittelfrist bzw. nachdem die Datenträger zur weiteren Bearbeitung aufbereitet worden sind, "in einem zweiten Schritt" durch eine sachverständige Person vornehmen lassen. Letztere solle dann die aufbereiteten Daten mittels noch zu erstellender Stichwortliste bezüglich allenfalls vorhandener Anwaltskorrespondenz durchsuchen. Damit vermischt die Vorinstanz jedoch materielle und prozessleitende Gesichtspunkte in unzulässiger Weise. Solche hybride Entsiegelungsentscheide sind gemäss bundesgerichtlicher Rechtsprechung, wie vom Beschwerdeführer vorgebracht, unzulässig (vgl. Urteile 1B_555/2017 vom 22. Juni 2018 E. 3.3; 1B_519/2017 vom 27. März 2018 E. 2.2). Die endgültige Gutheissung der Entsiegelung kann nicht erfolgen, ohne dass die gesiegelten Aufzeichnungen vom Entsiegelungsrichter - allenfalls unter Beizug von Spezialisten - im Einzelnen geprüft und beurteilt wurden. Die Vorinstanz hätte folglich zuerst eine Triage vornehmen müssen, bevor sie über den Umfang der Entsiegelung ("Teilentsiegelung") entschied. Im Übrigen lässt sich weder dem angefochtenen Entscheid noch der Dispositiv-Ziffer 1 entnehmen, durch wen die Aussonderung und die Durchsuchung der Gegenstände bzw. der Dateien letztlich erfolgen soll. Indem die Vorinstanz diese Aufgabe einer "sachverständigen Person" auferlegt, ohne diese näher zu spezifizieren bzw. die Modalitäten der Delegation zu klären, kann mithin nicht ausgeschlossen werden, dass die Triage allenfalls an die Strafverfolgungsbehörden delegiert wird, was indessen unzulässig ist (vgl. E. 2.2 hiervor). Auch aus diesem Grund ist der angefochtene Entscheid aufzuheben. Demnach erweist sich der Entscheid aus verfahrensrechtlichen Gründen als bundesrechtswidrig. Damit erübrigt es sich, auf die weiteren Rügen des Beschwerdeführers einzugehen.</w:t>
      </w:r>
    </w:p>
    <w:p>
      <w:r>
        <w:rPr>
          <w:b/>
        </w:rPr>
        <w:t>E. 3</w:t>
      </w:r>
    </w:p>
    <w:p>
      <w:r>
        <w:t>Die Beschwerde ist gutzuheissen, der angefochtene Entscheid ist aufzuheben und die Entsiegelungssache ist zur verfahrensrechtlich gesetzeskonformen Neubeurteilung an die Vorinstanz zurückzuweisen. Bei diesem Ausgang des Verfahrens sind keine Gerichtskosten zu erheben ( Art. 66 Abs. 1 und 4 BGG ). Dem Rechtsvertreter des Beschwerdeführers ist eine angemessene Parteientschädigung zuzusprechen ( Art. 68 Abs. 1-2 BGG ). Das Gesuch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