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1B_380/2015 vom 1. Dezember 2015</w:t>
      </w:r>
    </w:p>
    <w:p>
      <w:r>
        <w:t>Bundesgericht, 2015-12-01, DE</w:t>
      </w:r>
    </w:p>
    <w:p>
      <w:r>
        <w:rPr>
          <w:b/>
        </w:rPr>
        <w:t xml:space="preserve">Quelle: </w:t>
      </w:r>
      <w:r>
        <w:t>https://mcp.opencaselaw.ch/entscheid/bger_1B_380_2015</w:t>
      </w:r>
    </w:p>
    <w:p>
      <w:r>
        <w:t>FR: TF 1B_380/2015 du 1 décembre 2015</w:t>
      </w:r>
    </w:p>
    <w:p>
      <w:r>
        <w:t>IT: TF 1B_380/2015 del 1 dicembre 2015</w:t>
      </w:r>
    </w:p>
    <w:p>
      <w:pPr>
        <w:pStyle w:val="Heading2"/>
      </w:pPr>
      <w:r>
        <w:t>Erwägungen</w:t>
      </w:r>
    </w:p>
    <w:p>
      <w:r>
        <w:rPr>
          <w:b/>
        </w:rPr>
        <w:t>E. 1</w:t>
      </w:r>
    </w:p>
    <w:p>
      <w:r>
        <w:t>Beim angefochtenen Beschluss handelt es sich um einen kantonal letztinstanzlichen, selbständig eröffneten Zwischenentscheid in einer Strafsache, der einen nicht wieder gutzumachenden Nachteil bewirken kann ( Art. 78 Abs. 1, Art. 80 und Art. 93 Abs. 1 lit. a BGG ; BGE 133 IV 335 E. 4 S. 338; Urteil 1B_66/2015 vom 12. August 2015 E. 1; je mit Hinweisen). Die weiteren Sachurteilsvoraussetzungen sind erfüllt. Auf die Beschwerde ist grundsätzlich einzutreten.</w:t>
      </w:r>
    </w:p>
    <w:p>
      <w:r>
        <w:rPr>
          <w:b/>
        </w:rPr>
        <w:t>E. 2.1</w:t>
      </w:r>
    </w:p>
    <w:p>
      <w:r>
        <w:t>Das Kantonsgericht führt zum Widerruf der amtlichen Verteidigung aus, gemäss dem Strafbefehl vom 8. Mai 2015 habe der Beschwerdeführer ein Gespräch mit seiner ehemaligen Rechtsvertreterin unbemerkt aufgenommen und im Internet publiziert, sie bedroht und beschimpft und schliesslich ohne Führerausweis ein Fahrzeug gelenkt. Das Strafmass liege im Bagatellbereich einer Geldstrafe von weniger als 120 Tagessätzen ( Art. 132 Abs. 3 StPO ). Schon deshalb habe die Staatsanwaltschaft die amtliche Verteidigung widerrufen dürfen. Inwiefern die verbleibenden Sachverhalte Schwierigkeiten böten, denen der Beschwerdeführer allein nicht gewachsen wäre, begründe er im Übrigen nicht konkret. Dass er sich selber verteidigen könne, habe die Staatsanwaltschaft aufgrund seines bisherigen Prozessverhaltens zutreffend bejaht.</w:t>
      </w:r>
    </w:p>
    <w:p>
      <w:r>
        <w:rPr>
          <w:b/>
        </w:rPr>
        <w:t>E. 2.2</w:t>
      </w:r>
    </w:p>
    <w:p>
      <w:r>
        <w:t>Der Beschwerdeführer ist dagegen der Ansicht, dass der Straffall in tatsächlicher und rechtlicher Hinsicht Schwierigkeiten biete, denen er nicht gewachsen sei.</w:t>
      </w:r>
    </w:p>
    <w:p>
      <w:r>
        <w:rPr>
          <w:b/>
        </w:rPr>
        <w:t>E. 2.3</w:t>
      </w:r>
    </w:p>
    <w:p>
      <w:r>
        <w:t>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eine Geldstrafe von mehr als 120 Tagessätzen oder gemeinnützige Arbeit von mehr als 480 Stunden zu erwarten ist (Abs. 3).</w:t>
      </w:r>
    </w:p>
    <w:p>
      <w:r>
        <w:rPr>
          <w:b/>
        </w:rPr>
        <w:t>E. 2.4</w:t>
      </w:r>
    </w:p>
    <w:p>
      <w:r>
        <w:t>Mit dieser Regelung der amtlichen Verteidigung wird die bisherige bundesgerichtliche Rechtsprechung zu Art. 29 Abs. 3 BV und Art. 6 Abs. 3 lit. c EMRK für den Bereich des Strafprozessrechts umgesetzt ( BGE 139 IV 113 E. 4.3 S. 119). Diese Rechtsprechung unterscheidet nach der Schwere der Strafdrohung drei Fallgruppen. Falls das in Frage stehende Verfahren besonders stark in die Rechtsposition des Betroffenen eingreift, ist die Bestellung eines amtlichen Rechtsbeistands grundsätzlich geboten. Dies trifft namentlich dann zu, wenn dem Angeschuldigten eine Strafe droht, deren Dauer die Gewährung des bedingten Strafvollzugs ausschliesst. Falls kein besonders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einer Strafdrohung von drei Monaten Gefängnis unbedingt ( BGE 115 Ia 103 E. 4 S. 105 f.), bei einer "empfindlichen Strafe von jedenfalls mehreren Monaten Gefängnis" ( BGE 120 Ia 43 E. 3c S. 47) oder bei der Einsprache gegen einen Strafbefehl von 40 Tagen Gefängnis bedingt (Urteil 1P.627/2002 vom 4. März 2003 E. 3.2, in: Pra 2004 Nr. 1 S. 1) angenommen. Bei offensichtlichen Bagatelldelikten, bei denen nur eine Busse oder eine geringfügige Freiheitsstrafe in Frage kommt, verneint die Bundesgerichtspraxis einen verfassungsmässigen Anspruch auf einen amtlichen Rechtsbeistand (vgl. auch das soeben zitierte Urteil, wonach offen bleiben kann, ob bei Vergehen der Bagatellcharakter des Delikts generell verneint werden soll; zum Ganzen: BGE 120 Ia 43 E. 2a S. 44 f. ; 128 I 225 E. 2.5.2 S. 232 f.; Urteil 1P.675/2005 vom 14. Februar 2006 E. 5.1; je mit Hinweisen; vgl. zur neueren Rechtsprechung auch Urteil 1B_66/2015 vom 12. August 2015, wo das Bundesgericht bei einer Geldstrafe von 45 Tagessätzen von keinem Bagatellfall ausging).</w:t>
      </w:r>
    </w:p>
    <w:p>
      <w:r>
        <w:rPr>
          <w:b/>
        </w:rPr>
        <w:t>E. 2.5</w:t>
      </w:r>
    </w:p>
    <w:p>
      <w:r>
        <w:t>Daraus, aber auch aus dem Wortlaut von Art. 132 Abs. 3 StPO ("jedenfalls dann nicht"), folgt, dass entgegen der Auffassung der Vorinstanz nicht automatisch von einem Bagatellfall auszugehen ist, wenn die im Gesetz genannten Schwellenwerte nicht erreicht sind (Urteil 1B_263/2013 vom 20. November 2013 E. 4.3 mit Hinweis). Weiter ist zu berücksichtigen, dass die Formulierung von Abs. 2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(vgl. im Einzelnen Urteil 1B_746/2012 vom 5. März 2013 E. 2.5 mit Hinweis).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und umgekehrt ( NIKLAUS RUCKSTUHL, in: Basler Kommentar, Schweizerische Strafprozessordnung, 2. Aufl. 2014, N. 37 zu Art. 132 StPO ).</w:t>
      </w:r>
    </w:p>
    <w:p>
      <w:r>
        <w:rPr>
          <w:b/>
        </w:rPr>
        <w:t>E. 2.6</w:t>
      </w:r>
    </w:p>
    <w:p>
      <w:r>
        <w:t>Würde im vorliegenden Fall die im Strafbefehl ausgesprochene Busse in eine Ersatzfreiheitsstrafe von 25 Tagen Haft umgewandelt und an die 80 Tagessätze der Geldstrafe angerechnet, lägen die daraus resultierenden 105 Tage bzw. Tagessätze immer noch deutlich, wenn auch nicht weit unter der in Art. 132 Abs. 3 StPO genannten Schwelle. Vor dem Hintergrund der dargelegten Rechtsprechung müssten deshalb besondere Schwierigkeiten rechtlicher oder tatsächlicher Natur hinzukommen, denen der Beschwerdeführer nicht gewachsen wäre. Solche sind indessen nicht ersichtlich. Zwar sind immerhin drei Sachverhalte zu beurteilen, doch sind diese einfach gelagert und dürften auch keine schwierigen Rechtsfragen aufwerfen. Der Beschwerdeführer hat sich zudem bereits mehrfach unabhängig von seinem früheren amtlichen Verteidiger gegenüber den Strafbehörden geäussert und dabei gezeigt, dass er mit den Modalitäten eines Strafverfahrens vertraut ist. Auch wenn es sich bei der Privatklägerin um eine Rechtsanwältin handelt, ist ihm zuzumuten, das Verfahren ohne amtliche Verteidigung zu bewältigen. Nicht von Bedeutung ist in dieser Hinsicht das Argument, die Privatklägerin sei eine "Amtskollegin" des Kantonsgerichts, ihr Ehemann sei im selben Kanton Staatsanwalt und alle seien befreundet. Dasselbe gilt für das Vorbringen, die Straftaten seien möglicherweise verjährt und die Anschuldigungen der Privatklägerin hätten sich im Laufe des Verfahrens geändert. Solches wird der Beschwerdeführer im Hauptverfahren geltend machen können.</w:t>
      </w:r>
    </w:p>
    <w:p>
      <w:r>
        <w:t>Das Kantonsgericht Schwyz hat somit Art. 132 StPO nicht verletzt, indem es dem Beschwerdeführer das Recht auf amtliche Verteidigung absprach.</w:t>
      </w:r>
    </w:p>
    <w:p>
      <w:r>
        <w:rPr>
          <w:b/>
        </w:rPr>
        <w:t>E. 3</w:t>
      </w:r>
    </w:p>
    <w:p>
      <w:r>
        <w:t>Die Beschwerde ist abzuweisen.</w:t>
      </w:r>
    </w:p>
    <w:p>
      <w:r>
        <w:t>Das sinngemäss gestellte Gesuch um unentgeltliche Rechtspflege ist gutzuheissen und auf eine Kostenauflage zu verzichten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