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1B_37/2019 vom 24. Januar 2019</w:t>
      </w:r>
    </w:p>
    <w:p>
      <w:r>
        <w:t>Bundesgericht, 2019-01-24, DE</w:t>
      </w:r>
    </w:p>
    <w:p>
      <w:r>
        <w:rPr>
          <w:b/>
        </w:rPr>
        <w:t xml:space="preserve">Quelle: </w:t>
      </w:r>
      <w:r>
        <w:t>https://mcp.opencaselaw.ch/entscheid/bger_1B_37_2019</w:t>
      </w:r>
    </w:p>
    <w:p>
      <w:r>
        <w:t>FR: TF 1B_37/2019 du 24 janvier 2019</w:t>
      </w:r>
    </w:p>
    <w:p>
      <w:r>
        <w:t>IT: TF 1B_37/2019 del 24 gennaio 2019</w:t>
      </w:r>
    </w:p>
    <w:p>
      <w:pPr>
        <w:pStyle w:val="Heading2"/>
      </w:pPr>
      <w:r>
        <w:t>Erwägungen</w:t>
      </w:r>
    </w:p>
    <w:p>
      <w:r>
        <w:rPr>
          <w:b/>
        </w:rPr>
        <w:t>E. 1</w:t>
      </w:r>
    </w:p>
    <w:p>
      <w:r>
        <w:t>A.________ erhob gegen die Nichtanhandnahmeverfügung betreffend B.________ AG der Regionalen Staatsanwaltschaft Bern-Mittelland vom 19. Dezember 2018 Beschwerde. Die Beschwerdekammer in Strafsachen des Obergerichts des Kantons Bern forderte ihn mit Verfügung vom 9. Januar 2019 auf, innert 10 Tagen eine Sicherheit im Sinne von Art. 383 StPO von Fr. 600.-- zu leisten, ansonsten auf die Beschwerde nicht eingetreten werde.</w:t>
      </w:r>
    </w:p>
    <w:p>
      <w:r>
        <w:rPr>
          <w:b/>
        </w:rPr>
        <w:t>E. 2</w:t>
      </w:r>
    </w:p>
    <w:p>
      <w:r>
        <w:t>Mit Eingabe vom 20. Januar 2019 führt A.________ Beschwerde in Strafsachen gegen die Verfügung der Beschwerdekammer in Strafsachen des Obergerichts des Kantons Bern.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rPr>
          <w:b/>
        </w:rPr>
        <w:t>E. 4</w:t>
      </w:r>
    </w:p>
    <w:p>
      <w:r>
        <w:t>Der Beschwerdeführer rügt sinngemäss eine Verletzung seines Anspruchs auf unentgeltliche Rechtspflege. Er behauptet indessen nicht, dass er im kantonalen Verfahren ein solches Gesuch gestellt hätte. Weshalb sein Anspruch auf unentgeltliche Rechtspflege gleichwohl verletzt worden sein sollte, legt er nicht dar. Weiter ergibt sich aus seiner Eingabe nicht, inwiefern die Auferlegung einer Sicherheit im Sinne von Art. 383 StPO rechtswidrig erfolgt sein soll. Zusammenfassend ergibt sich aus der Beschwerde nicht, inwiefern die Verfügung der Beschwerdekammer rechts- bzw. verfassungswidrig sein soll. Die Beschwerde genügt den gesetzlichen Formerfordernissen offensichtlich nicht, weshalb auf sie im vereinfachten Verfahren nach Art. 108 Abs. 1 BGG nicht einzutreten ist.</w:t>
      </w:r>
    </w:p>
    <w:p>
      <w:r>
        <w:rPr>
          <w:b/>
        </w:rPr>
        <w:t>E. 5</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