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1B_37/2012 vom 7. Februar 2012</w:t>
      </w:r>
    </w:p>
    <w:p>
      <w:r>
        <w:t>Bundesgericht, 2012-02-07, FR</w:t>
      </w:r>
    </w:p>
    <w:p>
      <w:r>
        <w:rPr>
          <w:b/>
        </w:rPr>
        <w:t xml:space="preserve">Quelle: </w:t>
      </w:r>
      <w:r>
        <w:t>https://mcp.opencaselaw.ch/entscheid/bger_1B_37_2012</w:t>
      </w:r>
    </w:p>
    <w:p>
      <w:r>
        <w:t>FR: TF 1B_37/2012 du 7 février 2012</w:t>
      </w:r>
    </w:p>
    <w:p>
      <w:r>
        <w:t>IT: TF 1B_37/2012 del 7 febbraio 2012</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la conclusion présentée est recevable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remet pas en cause le caractère suffisant des charges, mais il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132 I 21 consid. 3.2 p. 23; 128 I 149 consid. 2.1 p. 151; 123 I 31 consid. 3c p. 35; 117 Ia 257 consid. 4b-c p. 260 s. et les références).</w:t>
      </w:r>
    </w:p>
    <w:p>
      <w:r>
        <w:rPr>
          <w:b/>
        </w:rPr>
        <w:t>E. 3.2</w:t>
      </w:r>
    </w:p>
    <w:p>
      <w:r>
        <w:t>En l'occurrence, la cour cantonale relève que l'usage que le prévenu a fait des fonds détournés n'a pas pu être élucidé, l'intéressé soutenant avoir remis des sommes importantes (de l'ordre de 400'000 fr. selon les différents montants articulés) à un inconnu en Thaïlande. Il s'est en outre rendu dans ce pays à plus de quarante reprises en dix ans et a fait des allusions à la création d'une société, de sorte qu'il est fort probable que d'autres fonds aient été transférés en Asie. On ignore en outre si une partie de ces fonds se trouve à disposition du prévenu. Le Tribunal cantonal estime donc qu'il existe un risque manifeste que le recourant prenne contact avec le bénéficiaire des versements précités ou avec d'autres personnes dans le dessein de faire disparaître ou d'altérer des moyens de preuve, ou encore d'influencer des témoignages, ce qui aurait notamment pour effet de ruiner les effets attendus de la commission rogatoire en Thaïlande.</w:t>
      </w:r>
    </w:p>
    <w:p>
      <w:r>
        <w:t>Le recourant ne remet pas en cause cette appréciation de manière convaincante. Il se borne en effet à relever qu'il a collaboré au cours de l'enquête, notamment en désignant des comptes sur lesquels les fonds soustraits ont été versés. Il affirme en outre que, même s'il était libéré, il ne pourrait pas effacer les traces de ces transactions bancaires, qu'il ne peut pas contacter le bénéficiaire principal de ses versements et qu'il ne connaît pas son "identité précise". Cela étant, contrairement à ce que soutient le recourant, les mesures d'enquête vraisemblablement utiles ne se limitent pas à la saisie des relevés des comptes bancaires qu'il a désignés. En effet, l'intégralité des malversations dénoncées n'a pas été reconnue et la destination des fonds soustraits demeure très floue. A cet égard, on ne saurait se fonder uniquement sur les déclarations de l'intéressé quant à des versements à un tiers prétendument inconnu. Des investigations supplémentaires apparaissent donc nécessaires et des témoignages pourraient s'avérer déterminants pour l'enquête. S'il est vrai que le recourant a partiellement collaboré, il a donné des explications plutôt vagues et il n'a pas permis à ce jour de retrouver les fonds soustraits, de sorte qu'il y a lieu de craindre qu'il ne prenne certaines mesures de nature à entraver la manifestation de la vérité s'il était remis en liberté. Les arguments fondés sur la prétendue bonne réputation du recourant et l'absence de condamnation antérieure n'apparaissent guère pertinents, compte tenu notamment des malversations reconnues par l'intéressé. Ces éléments ne suffisent en tout cas pas à exclure le risque de collusion, qui apparaît en l'état manifeste.</w:t>
      </w:r>
    </w:p>
    <w:p>
      <w:r>
        <w:rPr>
          <w:b/>
        </w:rPr>
        <w:t>E. 3.3</w:t>
      </w:r>
    </w:p>
    <w:p>
      <w:r>
        <w:t>Le maintien en détention étant justifié par un risque de collusion, il n'y a pas lieu de déterminer s'il peut reposer également sur un risque de fuite comme le retient l'arrêt attaqué, l'existence de ce risque n'étant au demeurant pas contestée par le recourant devant la Cour de céans.</w:t>
      </w:r>
    </w:p>
    <w:p>
      <w:r>
        <w:rPr>
          <w:b/>
        </w:rPr>
        <w:t>E. 4</w:t>
      </w:r>
    </w:p>
    <w:p>
      <w:r>
        <w:t>Le recourant fait encore part de considérations sur la durée de la détention. A supposer qu'il entende se plaindre ainsi d'une violation du principe de la proportionnalité, ce grief devrait également être rejeté. La détention subie à ce jour demeure en effet proportionnée à la peine encourue concrètement en cas de condamnation et il n'apparaît pas d'emblée que la procédure doive se prolonger de manière inadmissible. En particulier, rien n'indique en l'état que la commission rogatoire avec la Thaïlande puisse provoquer des retards incompatibles avec le principe susmentionné.</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