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1B_378/2020 vom 26. Mai 2021</w:t>
      </w:r>
    </w:p>
    <w:p>
      <w:r>
        <w:t>Bundesgericht, 2021-05-26, DE</w:t>
      </w:r>
    </w:p>
    <w:p>
      <w:r>
        <w:rPr>
          <w:b/>
        </w:rPr>
        <w:t xml:space="preserve">Quelle: </w:t>
      </w:r>
      <w:r>
        <w:t>https://mcp.opencaselaw.ch/entscheid/bger_1B_378_2020</w:t>
      </w:r>
    </w:p>
    <w:p>
      <w:r>
        <w:t>FR: TF 1B_378/2020 du 26 mai 2021</w:t>
      </w:r>
    </w:p>
    <w:p>
      <w:r>
        <w:t>IT: TF 1B_378/2020 del 26 maggio 2021</w:t>
      </w:r>
    </w:p>
    <w:p>
      <w:pPr>
        <w:pStyle w:val="Heading2"/>
      </w:pPr>
      <w:r>
        <w:t>Erwägungen</w:t>
      </w:r>
    </w:p>
    <w:p>
      <w:r>
        <w:rPr>
          <w:b/>
        </w:rPr>
        <w:t>E. 1.1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Gericht nicht gehalten, von Amtes wegen nach allfälligen gesetzlich geschützten Geheimnisinteressen zu forschen. Tangierte Berufs-, Geschäfts- oder Privatgeheimnisse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t>Die betreffende Sachurteilsvoraussetzung ist in der Beschwerdeschrift ausreichend darzulegen, soweit sie nicht offensichtlich erfüllt erscheint ( Art. 42 Abs. 1-2 BGG ; BGE 141 IV 1 E. 1.1 S. 4 f.; 284 E. 2.3 S. 287; 289 E. 1.3 S. 292; je mit Hinweisen).</w:t>
      </w:r>
    </w:p>
    <w:p>
      <w:r>
        <w:rPr>
          <w:b/>
        </w:rPr>
        <w:t>E. 1.2</w:t>
      </w:r>
    </w:p>
    <w:p>
      <w:r>
        <w:t>Zur Begründung des drohenden nicht wieder gutzumachenden Nachteils bringt der Beschwerdeführer Folgendes vor: Mit der von der Vorinstanz bewilligten Entsiegelung und Durchsuchung werde "unwiederbringlich in seine durch Art. 13 BV geschützte Privatsphäre eingegriffen". Insofern drohe ihm "ein nicht wieder gutzumachender Nachteil i.S.v. Art. 93 Abs. 1 lit. a BGG " (Beschwerdeschrift, S. 3 Rz. 4).</w:t>
      </w:r>
    </w:p>
    <w:p>
      <w:r>
        <w:t>Dieses pauschale Vorbringen genügt nach der oben dargelegten Rechtsprechung nicht für eine gesetzeskonforme Substanziierung eines nicht wieder gutzumachenden Rechtsnachteils. Jede strafprozessuale Zwangsmassnahme und jede Entsiegelung führt definitionsgemäss zu einem Eingriff in die Grundrechte von Betroffenen (vgl. Art. 196 StPO ). Der Beschwerdeführer legt weder dar, welche konkreten schutzwürdigen Privatgeheimnisse vom Entsiegelungsentscheid tangiert seien, noch, inwiefern der Eingriff in seine Persönlichkeitsrechte besonders belastend erscheine. Noch viel weniger präzisiert er, auf welchen Speicherorten der verschiedenen Geräte (Mobiltelefon, iMac, iPad, zwei Notebooks, externe Festplatte und sieben USB-Sticks) sich irgendwelche Dateien befänden, deren Geheimnisschutz das öffentliche Interesse an der Untersuchung eines schwer wiegenden Sexualdeliktes überwiegen könnte.</w:t>
      </w:r>
    </w:p>
    <w:p>
      <w:r>
        <w:t>Wie sich aus dem angefochtenen Entscheid ergibt, hat der Beschuldigte auch schon im vorinstanzlichen Entsiegelungsverfahren keine eigenen, gesetzlich geschützten Geheimnisrechte näher substanziiert:</w:t>
      </w:r>
    </w:p>
    <w:p>
      <w:r>
        <w:t>Die Vorinstanz weist darauf hin, dass sie ihn mit prozessleitender Verfügung vom 10. Februar 2020 eingeladen habe, substanziiert anzugeben, welche elektronischen Geräte und Dateien aus welchem Grund von den Strafbehörden weder eingesehen noch verwendet werden dürften. In seiner Stellungnahme habe er geäussert, "der Schutz seiner Privatsphäre" sei ihm "äusserst wichtig". Im Übrigen habe er lediglich Drittinteressen und Drittgeheimnisse als tangiert angerufen, nämlich solche von Kunden "im Zusammenhang mit seiner Tätigkeit als Security" sowie Privatgeheimnisse seiner Freundin, der ein sichergestellter Laptop gehöre, und von ihm angeblich "unbekannten" Drittpersonen, welche - nach den Behauptungen des Beschuldigten - die "Inhaber" von sieben bei ihm sichergestellten USB-Sticks seien (angefochtener Entscheid, E. 2 S. 3).</w:t>
      </w:r>
    </w:p>
    <w:p>
      <w:r>
        <w:t>Zur Wahrung allfälliger Geheimnisinteressen von Dritten ist der Beschwerdeführer nicht legitimiert ( Art. 80 Abs. 1 lit. b BGG ). Die Eigentümerin des fraglichen Laptops wurde im Übrigen in das vorinstanzliche Entsiegelungsverfahren einbezogen, und das Gerät wurde ihr gemäss dem angefochtenen Entscheid (nicht angefochtene Dispositiv-Ziffer 2) zurückgegeben.</w:t>
      </w:r>
    </w:p>
    <w:p>
      <w:r>
        <w:rPr>
          <w:b/>
        </w:rPr>
        <w:t>E. 2</w:t>
      </w:r>
    </w:p>
    <w:p>
      <w:r>
        <w:t>Auf die Beschwerde ist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