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378/2012 vom 25. Oktober 2012</w:t>
      </w:r>
    </w:p>
    <w:p>
      <w:r>
        <w:t>Bundesgericht, 2012-10-25, DE</w:t>
      </w:r>
    </w:p>
    <w:p>
      <w:r>
        <w:rPr>
          <w:b/>
        </w:rPr>
        <w:t xml:space="preserve">Quelle: </w:t>
      </w:r>
      <w:r>
        <w:t>https://mcp.opencaselaw.ch/entscheid/bger_1B_378_2012</w:t>
      </w:r>
    </w:p>
    <w:p>
      <w:r>
        <w:t>FR: TF 1B 378/2012 du 25 octobre 2012</w:t>
      </w:r>
    </w:p>
    <w:p>
      <w:r>
        <w:t>IT: TF 1B 378/2012 del 25 ottobre 2012</w:t>
      </w:r>
    </w:p>
    <w:p>
      <w:pPr>
        <w:pStyle w:val="Heading2"/>
      </w:pPr>
      <w:r>
        <w:t>Regeste</w:t>
      </w:r>
    </w:p>
    <w:p>
      <w:r>
        <w:t>Strafverfahren; Einstellungsverfügung | Strafprozess</w:t>
      </w:r>
    </w:p>
    <w:p>
      <w:pPr>
        <w:pStyle w:val="Heading2"/>
      </w:pPr>
      <w:r>
        <w:t>Erwägungen</w:t>
      </w:r>
    </w:p>
    <w:p>
      <w:r>
        <w:rPr>
          <w:b/>
        </w:rPr>
        <w:t>E. 1.1</w:t>
      </w:r>
    </w:p>
    <w:p>
      <w:r>
        <w:t>Mit dem angefochtenen Entscheid wurde die kantonale Staatsanwaltschaft angewiesen, mit Bezug auf den Vorwurf der Veruntreuung gegen den Beschwerdeführer Anklage zu erheben. Der Entscheid betrifft damit eine Strafsache im Sinne von Art. 78 Abs. 1 BGG . Das Obergericht ist Vorinstanz des Bundesgerichts im Sinne von Art. 80 BGG . Beim angefochtenen Rückweisungsentscheid handelt es sich um einen Zwischenentscheid, der das Strafverfahren nicht abschliesst. Gegen Vor- und Zwischenentscheide, die weder die Zuständigkeit noch den Ausstand betreffen (vgl. Art. 92 BGG ), ist die Beschwerde ans Bundesgericht gemäss Art. 93 Abs. 1 BGG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1.2</w:t>
      </w:r>
    </w:p>
    <w:p>
      <w:r>
        <w:t>Der Beschwerdeführer erachtet die Voraussetzungen von Art. 93 Abs. 1 lit. a und b BGG als erfüllt. Diese Auffassung geht fehl:</w:t>
      </w:r>
    </w:p>
    <w:p>
      <w:r>
        <w:rPr>
          <w:b/>
        </w:rPr>
        <w:t>E. 1.2.1</w:t>
      </w:r>
    </w:p>
    <w:p>
      <w:r>
        <w:t>Von einem nicht wieder gutzumachenden Nachteil im Sinne von Art. 93 Abs. 1 lit. a BGG wird gesprochen, wenn dieser auch durch ein nachfolgendes günstiges Urteil nicht oder nicht mehr vollständig behoben werden kann ( BGE 135 I 261 E. 1.2 S. 263 mit Hinweisen). Im Verfahren der Beschwerde in Strafsachen muss der nicht wieder gutzumachende Nachteil im Sinne von Art. 93 Abs. 1 lit. a BGG nicht bloss tatsächlicher, sondern rechtlicher Natur sein ( BGE 136 IV 92 E. 4 S. 95). Die Durchführung eines Strafverfahrens begründet nach konstanter bundesgerichtlicher Rechtsprechung keinen Nachteil rechtlicher Natur, der mit einem für die beschuldigte Person günstigen Entscheid nicht behoben werden könnte ( BGE 133 IV 139 E. 4 S. 140 f. mit Hinweisen).</w:t>
      </w:r>
    </w:p>
    <w:p>
      <w:r>
        <w:rPr>
          <w:b/>
        </w:rPr>
        <w:t>E. 1.2.2</w:t>
      </w:r>
    </w:p>
    <w:p>
      <w:r>
        <w:t>Eine Anfechtung des vorinstanzlichen Zwischenentscheids gestützt auf Art. 93 Abs. 1 lit. b BGG fällt ebenfalls ausser Betracht. Das Bundesgericht legt die Voraussetzung, wonach die Gutheissung der Beschwerde einen bedeutenden Aufwand an Zeit oder Kosten für ein weitläufiges Beweisverfahren ersparen muss, im Strafverfahren restriktiv aus. Als beschuldigte Person ist der Beschwerdeführer zudem ohnehin nicht befugt, die Einstellung des Verfahrens zur Vermeidung von Kosten zu verlangen, da die Kosten eines ungerechtfertigten Strafverfahrens nicht er zu tragen hätte (Urteil 6B_782/2008 vom 12. Mai 2009 E. 1.4, in: Pra 2009 Nr. 115 S. 787). Im Übrigen hat die kantonale Staatsanwaltschaft unbestrittenermassen vor Erlass ihrer Einstellungsverfügung bereits ein umfangreiches Beweisverfahren durchgeführt. Unter diesen Umständen liegt es daher keineswegs nahe, dass mit der Fortführung des Strafverfahrens ein "weitläufiges Beweisverfahren" im Sinn von Art. 93 Abs. 1 lit. b BGG verbunden ist (vgl. zum Ganzen auch Urteil 1B_425/2011 vom 5. Oktober 2011 E. 1.2).</w:t>
      </w:r>
    </w:p>
    <w:p>
      <w:r>
        <w:rPr>
          <w:b/>
        </w:rPr>
        <w:t>E. 2</w:t>
      </w:r>
    </w:p>
    <w:p>
      <w:r>
        <w:t>Bei diesem Ausgang des Verfahrens wird der Beschwerdeführer kostenpflichtig ( Art. 66 Abs. 1 BGG ). Er hat der obsiegenden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