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378/2011 vom 15. August 2011</w:t>
      </w:r>
    </w:p>
    <w:p>
      <w:r>
        <w:t>Bundesgericht, 2011-08-15, DE</w:t>
      </w:r>
    </w:p>
    <w:p>
      <w:r>
        <w:rPr>
          <w:b/>
        </w:rPr>
        <w:t xml:space="preserve">Quelle: </w:t>
      </w:r>
      <w:r>
        <w:t>https://mcp.opencaselaw.ch/entscheid/bger_1B_378_2011</w:t>
      </w:r>
    </w:p>
    <w:p>
      <w:r>
        <w:t>FR: TF 1B 378/2011 du 15 août 2011</w:t>
      </w:r>
    </w:p>
    <w:p>
      <w:r>
        <w:t>IT: TF 1B 378/2011 del 15 agosto 2011</w:t>
      </w:r>
    </w:p>
    <w:p>
      <w:pPr>
        <w:pStyle w:val="Heading2"/>
      </w:pPr>
      <w:r>
        <w:t>Regeste</w:t>
      </w:r>
    </w:p>
    <w:p>
      <w:r>
        <w:t>Entlassung aus der Sicherheitshaft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Er betrifft die Verlängerung der Sicherheitshaft und damit eine Zwangsmassnahme im Sinne von Art. 196 ff. StPO (SR 312.0). Der angefochtene selbstständig eröffnete Zwischenentscheid kann einen nicht wieder gutzumachenden Nachteil im Sinne von Art. 93 Abs. 1 lit. a BGG bewirken.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w:t>
      </w:r>
    </w:p>
    <w:p>
      <w:r>
        <w:rPr>
          <w:b/>
        </w:rPr>
        <w:t>E. 1.2</w:t>
      </w:r>
    </w:p>
    <w:p>
      <w:r>
        <w:t>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 Massnahmen im Sinne von Art. 98 BGG dar. Die nach dieser Bestimmung vorgeschriebene Beschränkung der Rügegründe und das über die Begründungspflicht nach Art. 42 Abs. 2 BGG hinausgehende Rügeprinzip im Sinne von Art. 106 Abs. 2 BGG sind demnach nicht anwendbar (vgl. BGE 1B_277/2011 vom 28. Juni 2011 E. 1.2).</w:t>
      </w:r>
    </w:p>
    <w:p>
      <w:r>
        <w:rPr>
          <w:b/>
        </w:rPr>
        <w:t>E. 2</w:t>
      </w:r>
    </w:p>
    <w:p>
      <w:r>
        <w:t>Streitgegenstand bildet die Zulässigkeit der Sicherheitshaft während des vor dem Amtsgericht Olten-Gösgen als erster Instanz hängigen Verfahrens betreffend nachträgliche Änderung der Sanktion.</w:t>
      </w:r>
    </w:p>
    <w:p>
      <w:r>
        <w:rPr>
          <w:b/>
        </w:rPr>
        <w:t>E. 2.1</w:t>
      </w:r>
    </w:p>
    <w:p>
      <w:r>
        <w:t>Der Beschwerdeführer macht geltend, er habe seit dem 8. Juli 2011 seine Haftstrafe von insgesamt 30 Monaten vollständig verbüsst. Um Sicherheitshaft im Verfahren betreffend nachträgliche Änderung der Sanktion anordnen zu können, bedürfe es nach der Rechtsprechung des Europäischen Gerichtshofs für Menschenrechte (Entscheid in Sachen Borer gegen Schweizerische Eidgenossenschaft vom 10. Juni 2010) einer ausdrücklichen gesetzlichen Grundlage. In der Schweizerischen Strafprozessordnung aber fehle eine Bestimmung, welche es erlaube, ihn über den beendeten ordentlichen Strafvollzug hinaus in Haft zu belassen. Da nicht die Beurteilung einer neuen Straftat in Frage stehe, könnten insbesondere die Art. 221 und Art. 229 f. StPO nicht herangezogen werden. Im Übrigen sei gemäss BGE 136 IV 156 eine Umwandlung einer ambulanten in eine stationäre Massnahme nach vollständiger Verbüssung der Strafe nur in klaren Ausnahmefällen und unter strenger Berücksichtigung des Verhältnismässigkeitsprinzips zulässig. Diese Voraussetzungen seien vorliegend nicht erfüllt.</w:t>
      </w:r>
    </w:p>
    <w:p>
      <w:r>
        <w:rPr>
          <w:b/>
        </w:rPr>
        <w:t>E. 2.2.1</w:t>
      </w:r>
    </w:p>
    <w:p>
      <w:r>
        <w:t>Gemäss Art. 65 Abs. 2 StGB kann das Gericht eine Verwahrung nachträglich anordnen, wenn sich bei einem Verurteilten während des Vollzugs der Freiheitsstrafe aufgrund neuer Tatsachen oder Beweismittel ergibt, dass die Voraussetzungen der Verwahrung gegeben sind und im Zeitpunkt der Verurteilung bereits bestanden haben, ohne dass das Gericht davon Kenntnis haben konnte. Zuständigkeit und Verfahren bestimmen sich nach den Regeln, die für die Wiederaufnahme gelten (vgl. Art. 410 ff. StPO ; zu Art. 65 Abs. 2 StGB siehe auch BGE 137 IV 59 ). Die Strafkammer des Obergerichts hat diese Voraussetzungen mit Urteil vom 15. Dezember 2010 bejaht (vgl. Sachverhalt lit. B. hiervor) und ausgeführt, bei Kenntnis aller Umstände hätte das Amtsgericht Olten-Gösgen im Urteil vom 18./19. September 2008 entweder eine stationäre Massnahme nach Art. 59 Abs. 3 StGB oder die Verwahrung nach Art. 64 Abs. 1 StGB angeordnet; eine Entlassung nach dem Vollzug der ausgesprochenen Freiheitsstrafe wäre nicht denkbar gewesen. Das Obergericht hob deshalb die Rechtskraft des Urteils vom 18./19. September 2008 insofern auf, als dass nachträglich die Verwahrung angeordnet werden könne, und wies die Sache zur Weiterführung des Verfahrens betreffend nachträgliche Änderung der Sanktion ans Amtsgericht zurück.</w:t>
      </w:r>
    </w:p>
    <w:p>
      <w:r>
        <w:rPr>
          <w:b/>
        </w:rPr>
        <w:t>E. 2.2.2</w:t>
      </w:r>
    </w:p>
    <w:p>
      <w:r>
        <w:t>Damit ist das erstinstanzliche Urteil vom 18./19. September 2008 teilweise aufgehoben worden und die Sache wieder vor der ersten Instanz hängig. Folglich finden insoweit die für das erstinstanzliche Verfahren geltenden Bestimmungen der StPO Anwendung. Ist - wie vorliegend - ein Gesuch um Entlassung aus der Sicherheitshaft zu beurteilen, sind die Art. 221 und 229 f. StPO einschlägig. Entgegen der Auffassung des Beschwerdeführers besteht daher eine hinreichende gesetzliche Grundlage für die Anordnung respektive die Weiterführung der Sicherheitshaft. Nichts zu seinen Gunsten ableiten kann der Beschwerdeführer aus dem von ihm angeführten Entscheid des Europäischen Gerichtshofs für Menschenrechte in Sachen Borer gegen Schweizerische Eidgenossenschaft vom 10. Juni 2010. Dieser Entscheid betrifft nicht die damals noch nicht in Kraft stehende Schweizerische Strafprozessordnung, sondern die bisherige Strafprozessordnung des Kantons Basel-Stadt, welche terminologisch nicht zwischen Untersuchungs- und Sicherheitshaft unterschied.</w:t>
      </w:r>
    </w:p>
    <w:p>
      <w:r>
        <w:rPr>
          <w:b/>
        </w:rPr>
        <w:t>E. 2.3.1</w:t>
      </w:r>
    </w:p>
    <w:p>
      <w:r>
        <w:t>Nach Art. 221 Abs. 1 StPO ist Sicherheitshaft nur zulässig, wenn die beschuldigte Person eines Verbrechens oder Vergehens dringend verdächtigt ist und ernsthaft zu befürchten ist, dass sie sich durch Flucht des Strafverfahrens oder der zu erwartenden Sanktion entzieht (lit. a), Personen beeinflusst oder auf Beweismittel einwirkt, um so die Wahrheitsfindung zu beeinträchtigen (lit. b) oder durch schwere Verbrechen oder Vergehen die Sicherheit anderer erheblich gefährdet, nachdem sie bereits früher gleichartige Straftaten verübt hat (lit. c). Wird die Sicherheitshaft im Verfahren betreffend nachträgliche Änderung der Sanktion angeordnet, so entfällt die Prüfung des dringenden Tatverdachts, da eine rechtskräftige Verurteilung bereits vorliegt. Hingegen bedarf es für die Anordnung und die Weiterführung von Sicherheitshaft einer hinreichenden Wahrscheinlichkeit, dass das Verfahren zu einer Massnahme führt, welche die Sicherstellung des Betroffenen erfordert. Zu prüfen ist folglich, ob die Anordnung einer stationären Massnahme oder einer Verwahrung als wahrscheinlich erscheint und ob ein besonderer Haftgrund besteht.</w:t>
      </w:r>
    </w:p>
    <w:p>
      <w:r>
        <w:rPr>
          <w:b/>
        </w:rPr>
        <w:t>E. 2.3.2</w:t>
      </w:r>
    </w:p>
    <w:p>
      <w:r>
        <w:t>Gemäss dem forensisch-psychiatrischen Gutachten der Psychiatrischen Dienste der Solothurner Spitäler AG vom 13. Januar 2010 leidet X.________ an einer schweren psychischen Störung, wobei von einer geringen bis gar nicht vorhandenen Behandelbarkeit bei hoher Rückfallgefahr für gefährliche Delikte auszugehen ist. Gestützt auf diese Beurteilung ist zum jetzigen Zeitpunkt, in welchem das in Auftrag gegebene Zweitgutachten noch nicht vorliegt, mit hoher Wahrscheinlichkeit damit zu rechnen, dass im erstinstanzlichen Verfahren betreffend nachträgliche Änderung der Sanktion eine stationäre Massnahme oder gar eine Verwahrung ausgesprochen wird. Eine solche Änderung der Sanktion ist in klaren Ausnahmefällen und unter strenger Berücksichtigung des Verhältnismässigkeitsgebots grundsätzlich auch dann zulässig, wenn kein Strafrest zum Vollzug ansteht ( BGE 136 IV 156 E. 2-4). Ob diese Voraussetzungen vorliegend erfüllt sind, ist nicht im Haftprüfungsverfahren, sondern im Verfahren betreffend nachträgliche Änderung der Sanktion abschliessend zu beurteilen.</w:t>
      </w:r>
    </w:p>
    <w:p>
      <w:r>
        <w:rPr>
          <w:b/>
        </w:rPr>
        <w:t>E. 2.3.3</w:t>
      </w:r>
    </w:p>
    <w:p>
      <w:r>
        <w:t>Der besondere Haftgrund der Wiederholungsgefahr gemäss Art. 221 Abs. 1 lit. c StPO ist zu bejahen, was vom Beschwerdeführer auch nicht substanziiert bestritten wird. Nach der Einschätzung im forensisch-psychiatrischen Gutachten vom 13. Januar 2010 fällt die Legalprognose des Beschwerdeführers sehr ungünstig aus, das heisst, dieser würde mit an Sicherheit grenzender Wahrscheinlichkeit nach der Entlassung erneut vornehmlich Eigentums-, Betäubungsmittel- und Strassenverkehrsdelikte begehen. Gemäss Gutachten ist zudem angesichts der hohen und in den letzten Jahren noch erkennbar gestiegenen Gewaltbereitschaft des Beschwerdeführers auch das Risiko, dass dieser Gewalt- oder Sexualdelikte verüben könnte, erhöht. Demzufolge drohen bei einer Freilassung des Beschwerdeführers schwere Vergehen oder Verbrechen. Erfüllt ist auch das sogenannte Vortatenerfordernis, wurde der Beschwerdeführer doch vom Amtsgericht Olten-Gösgen mit Urteil vom 18./19. September 2008 unter anderem wegen versuchten qualifizierten Raubes (Qualifikationsgrund der besonderen Gefährlichkeit) und einfacher Körperverletzung verurteilt.</w:t>
      </w:r>
    </w:p>
    <w:p>
      <w:r>
        <w:rPr>
          <w:b/>
        </w:rPr>
        <w:t>E. 2.3.4</w:t>
      </w:r>
    </w:p>
    <w:p>
      <w:r>
        <w:t>Wie die Vorinstanz schliesslich zutreffend ausgeführt hat, ist der Grundsatz der Verhältnismässigkeit gewahrt. Mit Blick auf die hohe Rückfallgefahr bezüglich schwerer Straftaten und die Wahrscheinlichkeit der Anordnung einer stationären Massnahme oder einer Verwahrung erweist sich eine mutmassliche Dauer der Sicherheitshaft von sechs bis acht Monaten (8. Juli 2011 bis zur voraussichtlich Anfang 2012 stattfindenden erstinstanzlichen Hauptverhandlung [vgl. Entscheid des Haftgerichts vom 14. Juni 2011 S. 3]) nicht als unverhältnismässig. Ersatzmassnahmen, welche die bestehende hohe Rückfallgefahr wirkungsvoll bannen und die Haft entbehrlich machen könnten, sind nicht ersichtlich.</w:t>
      </w:r>
    </w:p>
    <w:p>
      <w:r>
        <w:rPr>
          <w:b/>
        </w:rPr>
        <w:t>E. 2.3.5</w:t>
      </w:r>
    </w:p>
    <w:p>
      <w:r>
        <w:t>Die Voraussetzungen für die Anordnung und Weiterführung von Sicherheitshaft - nämlich die hinreichende Wahrscheinlichkeit der Anordnung einer stationären Massnahme oder einer Verwahrung, das Vorliegen des besonderen Haftgrunds der Wiederholungsgefahr und die Verhältnismässigkeit der Haftdauer - sind damit zusammenfassend erfüllt. Die Vorinstanz hat somit kein Bundesrecht verletzt, indem sie die Beschwerde gegen die erstinstanzliche Abweisung des Haftentlassungsgesuchs abgewiesen hat.</w:t>
      </w:r>
    </w:p>
    <w:p>
      <w:r>
        <w:rPr>
          <w:b/>
        </w:rPr>
        <w:t>E. 3</w:t>
      </w:r>
    </w:p>
    <w:p>
      <w:r>
        <w:t>Die Beschwerde ist demzufolge abzuweisen. Der Beschwerdeführer ersucht um unentgeltliche Prozessführung und Rechtsverbeiständung. Da die gesetzlichen Voraussetzungen erfüllt sind, kann dem Gesuch entsprochen werden ( Art. 64 BGG ). Mit dem Entscheid in der Sache wird das Gesuch des Beschwerdeführers um Wiederherstellung der aufschiebenden Wirkung der Beschwerde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