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377/2019 vom 15. August 2019</w:t>
      </w:r>
    </w:p>
    <w:p>
      <w:r>
        <w:t>Bundesgericht, 2019-08-15, DE</w:t>
      </w:r>
    </w:p>
    <w:p>
      <w:r>
        <w:rPr>
          <w:b/>
        </w:rPr>
        <w:t xml:space="preserve">Quelle: </w:t>
      </w:r>
      <w:r>
        <w:t>https://mcp.opencaselaw.ch/entscheid/bger_1B_377_2019</w:t>
      </w:r>
    </w:p>
    <w:p>
      <w:r>
        <w:t>FR: TF 1B 377/2019 du 15 août 2019</w:t>
      </w:r>
    </w:p>
    <w:p>
      <w:r>
        <w:t>IT: TF 1B 377/2019 del 15 agosto 2019</w:t>
      </w:r>
    </w:p>
    <w:p>
      <w:pPr>
        <w:pStyle w:val="Heading2"/>
      </w:pPr>
      <w:r>
        <w:t>Regeste</w:t>
      </w:r>
    </w:p>
    <w:p>
      <w:r>
        <w:t>Strafverfahren; amtliche Verteidigung | Strafprozess</w:t>
      </w:r>
    </w:p>
    <w:p>
      <w:pPr>
        <w:pStyle w:val="Heading2"/>
      </w:pPr>
      <w:r>
        <w:t>Erwägungen</w:t>
      </w:r>
    </w:p>
    <w:p>
      <w:r>
        <w:rPr>
          <w:b/>
        </w:rPr>
        <w:t>E. 1</w:t>
      </w:r>
    </w:p>
    <w:p>
      <w:r>
        <w:t>Gegen A.________ läuft ein Strafverfahren der Staatsanwaltschaft Bischofszell wegen des Verdachts der Brandstiftung, des Diebstahls, der Drohung und weiterer Straftaten. In diesem Zusammenhang wurde ihm eine amtliche Verteidigerin zugeteilt. Am 1. Mai 2019 gelangte er an den Präsidenten des Zwangsmassnahmengerichts des Kantons Thurgau und ersuchte um einen Verteidigerwechsel. Am 15. Mai 2019 wies die Staatsanwaltschaft dieses Gesuch ab, und mit Entscheid vom 11. Juli 2019 wies das Obergericht des Kantons Thurgau eine dagegen erhobene Beschwerde ab. A.________ reichte dagegen Beschwerde beim Bundesgericht ein. Am 11. August 2019 zog er die Beschwerde nach einem einvernehmlichen Gespräch mit der Verteidigerin zurück.</w:t>
      </w:r>
    </w:p>
    <w:p>
      <w:r>
        <w:rPr>
          <w:b/>
        </w:rPr>
        <w:t>E. 2</w:t>
      </w:r>
    </w:p>
    <w:p>
      <w:r>
        <w:t>Mit dem Rückzug der Beschwerde ist das Verfahren nach Art. 32 Abs. 2 BGG abzuschreiben. Umständehalber rechtfertigt es sich im vorliegenden Fall, auf die Erhebung von Kosten für das bundesgerichtliche Verfahren zu verzichten (vgl.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