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1B_377/2016 vom 25. November 2016</w:t>
      </w:r>
    </w:p>
    <w:p>
      <w:r>
        <w:t>Bundesgericht, 2016-11-25, DE</w:t>
      </w:r>
    </w:p>
    <w:p>
      <w:r>
        <w:rPr>
          <w:b/>
        </w:rPr>
        <w:t xml:space="preserve">Quelle: </w:t>
      </w:r>
      <w:r>
        <w:t>https://mcp.opencaselaw.ch/entscheid/bger_1B_377_2016</w:t>
      </w:r>
    </w:p>
    <w:p>
      <w:r>
        <w:t>FR: TF 1B_377/2016 du 25 novembre 2016</w:t>
      </w:r>
    </w:p>
    <w:p>
      <w:r>
        <w:t>IT: TF 1B_377/2016 del 25 novembre 2016</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1.2</w:t>
      </w:r>
    </w:p>
    <w:p>
      <w:r>
        <w:t>Streitgegenstand ist einzig, ob das Obergericht zu Recht nicht auf das Ausstandsgesuch und das Feststellungsbegehren eingetreten ist (vgl. BGE 135 II 38 E. 1.2 S. 41). Hinsichtlich des Feststellungsbegehrens hielt das Obergericht fest, dieses könne nicht im Rahmen einer Stellungnahme in einem gegen Richter Kläusli geführten Ausstandsverfahren vorgebracht werden. Prozessgegenstand sei einzig das vom Bezirksgericht Zürich überwiesene Ausstandsgesuch. Der Beschwerdeführer setzt sich mit diesen Ausführungen nicht auseinander und legt stattdessen dar, weshalb der Wechsel in der Besetzung des Bezirksgerichts seiner Auffassung nach Art. 30 Abs. 1 BV verletzt. Die Beschwerde genügt in dieser Hinsicht der Begründungsobliegenheit von Art. 42 Abs. 2 BGG nicht. Auch aus dem Hinweis des Beschwerdeführers, er habe den Mangel beim Abfassen der Stellungnahme bemerkt, geht nicht hervor, weshalb der angefochtene Entscheid gegen Bundesrecht verstösst. Darauf ist nicht einzutreten.</w:t>
      </w:r>
    </w:p>
    <w:p>
      <w:r>
        <w:rPr>
          <w:b/>
        </w:rPr>
        <w:t>E. 2.1</w:t>
      </w:r>
    </w:p>
    <w:p>
      <w:r>
        <w:t>Dass das Obergericht nicht auf das Ausstandsbegehren eintrat, begründete es mit dessen verspäteter Geltendmachung. Der Beschwerdeführer habe seit Erhalt der Vorladung vom 14. Oktober 2015 gewusst, dass Richter Kläusli als Vorsitzender an der Hauptverhandlung mitwirken werde. Solange dem Beschwerdeführer keine Änderung mitgeteilt werde, habe er von der angekündigten Besetzung auszugehen. Daran ändere nichts, dass die Referentin in der Besetzung mehrfach wechselte.</w:t>
      </w:r>
    </w:p>
    <w:p>
      <w:r>
        <w:rPr>
          <w:b/>
        </w:rPr>
        <w:t>E. 2.2</w:t>
      </w:r>
    </w:p>
    <w:p>
      <w:r>
        <w:t>Der Beschwerdeführer bringt dagegen vor, ein Ausstandsgrund könne erst bei tatsächlicher Kenntnis geltend gemacht werden. Das Bezirksgericht schreibe jedoch in all seinen Vorladungen, dass Änderungen in der Gerichtsbesetzung vorbehalten seien. So seien denn auch die Referentin und die Gerichtsschreiberin mehrfach ausgewechselt worden. Unter diesen Umständen habe er nicht damit rechnen müssen, dass Richter Kläusli tatsächlich den Vorsitz führen werde. Erst an der Hauptverhandlung habe er sich ein Bild davon machen können, in welcher Besetzung das Gericht tage. Daraufhin habe er unverzüglich ein Ausstandsgesuch gestellt. Im Übrigen stelle sich auch die Frage, ob ein Befangenheitsgrund nicht ohnehin analog der Nichtigkeit jederzeit sollte geltend gemacht werden können.</w:t>
      </w:r>
    </w:p>
    <w:p>
      <w:r>
        <w:rPr>
          <w:b/>
        </w:rPr>
        <w:t>E. 2.3</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hingegen ein Zuwarten während zwei oder drei Wochen (zum Ganzen: Urteil 1B_100/2015 vom 8. Juni 2015 E. 4.1 mit Hinweisen).</w:t>
      </w:r>
    </w:p>
    <w:p>
      <w:r>
        <w:rPr>
          <w:b/>
        </w:rPr>
        <w:t>E. 2.4</w:t>
      </w:r>
    </w:p>
    <w:p>
      <w:r>
        <w:t>Dem Beschwerdeführer wurde mit Verfügung vom 14. Oktober 2015 mitgeteilt, dass Richter Kläusli an der Hauptverhandlung den Vorsitz führe. Die Erklärung, dass die Besetzung noch ändern könnte, durfte ihn nicht davon abhalten, einen allfälligen Ausstandsgrund unverzüglich geltend zu machen. Selbstredend kann sich ein derartiger Vorbehalt nur auf eine Änderung in der Besetzung aus sachlichen Gründen beziehen, welche nach Art. 30 Abs. 1 BV unabhängig davon zulässig ist, ob vorgängig auf eine solche Möglichkeit hingewiesen wurde. Die in Art. 331 Abs. 1 StPO vorgesehene Mitteilung, in welcher Zusammensetzung das Gericht tagen wird, bezweckt, den Parteien rechtzeitig die Möglichkeit von Befangenheitsanträgen zu geben und damit einen reibungslosen Ablauf der Verhandlung zu gewährleisten. Dieser Zweck würde unterlaufen, wenn ein Ausstandsgrund erst am Tag der Verhandlung geltend gemacht werden könnte. Dass vorliegend die Referentin und der Gerichtsschreiber mehrmals ausgewechselt wurden, ändert daran nichts. Es ist deshalb nicht zu beanstanden, wenn die Vorinstanz den Anspruch des Beschwerdeführers, gegen Richter Kläusli einen Ausstandsgrund geltend zu machen, als verwirkt ansah.</w:t>
      </w:r>
    </w:p>
    <w:p>
      <w:r>
        <w:rPr>
          <w:b/>
        </w:rPr>
        <w:t>E. 3</w:t>
      </w:r>
    </w:p>
    <w:p>
      <w:r>
        <w:t>Die Beschwerde ist aus diesen Gründen abzuweisen, soweit darauf einzutreten ist.</w:t>
      </w:r>
    </w:p>
    <w:p>
      <w:r>
        <w:t>Der Beschwerdeführer stellt ein Gesuch um unentgeltliche Rechtspflege. Da sich sein Rechtsbegehren als aussichtslos erweist, ist das Gesuch abzuweisen. Er trägt deshalb die Gerichtskosten ( Art. 66 Abs. 1 BGG ) und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