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376/2021 vom 6. August 2021</w:t>
      </w:r>
    </w:p>
    <w:p>
      <w:r>
        <w:t>Bundesgericht, 2021-08-06, DE</w:t>
      </w:r>
    </w:p>
    <w:p>
      <w:r>
        <w:rPr>
          <w:b/>
        </w:rPr>
        <w:t xml:space="preserve">Quelle: </w:t>
      </w:r>
      <w:r>
        <w:t>https://mcp.opencaselaw.ch/entscheid/bger_1B_376_2021</w:t>
      </w:r>
    </w:p>
    <w:p>
      <w:r>
        <w:t>FR: TF 1B 376/2021 du 6 août 2021</w:t>
      </w:r>
    </w:p>
    <w:p>
      <w:r>
        <w:t>IT: TF 1B 376/2021 del 6 agosto 2021</w:t>
      </w:r>
    </w:p>
    <w:p>
      <w:pPr>
        <w:pStyle w:val="Heading2"/>
      </w:pPr>
      <w:r>
        <w:t>Regeste</w:t>
      </w:r>
    </w:p>
    <w:p>
      <w:r>
        <w:t>Strafverfahren; Beschlagnahme | Strafprozess</w:t>
      </w:r>
    </w:p>
    <w:p>
      <w:pPr>
        <w:pStyle w:val="Heading2"/>
      </w:pPr>
      <w:r>
        <w:t>Erwägungen</w:t>
      </w:r>
    </w:p>
    <w:p>
      <w:r>
        <w:rPr>
          <w:b/>
        </w:rPr>
        <w:t>E. 1</w:t>
      </w:r>
    </w:p>
    <w:p>
      <w:r>
        <w:t>Die Staatsanwaltschaft des Kantons Schwyz führt gegen A.________ eine Strafuntersuchung wegen strafbarer Vorbereitungshandlungen, Schreckung der Bevölkerung sowie Widerhandlung gegen das Waffengesetz und das Betäubungsmittelgesetz. Am 29. November 2020 wurde eine Hausdurchsuchung am Wohnort von A.________ durchgeführt und dabei 53 Positionen Gegenstände sichergestellt. Am 24. März 2021 erliess die Staatsanwaltschaft einen Beschlagnahmebefehl. A.________ erhob dagegen am 25. März 2021 Beschwerde, welche das Kantonsgericht Schwyz mit Beschluss vom 4. Juni 2021 teilweise guthiess und im Übrigen abwies, soweit es darauf eintrat. Zur Begründung führte es zusammenfassend aus, dass sich das pauschale und nicht konkrete Ausstandsgesuch gegen den Kantonsgerichtspräsidenten als unzulässig erweise, weshalb darauf nicht weiter einzugehen sei. Die Beschwerde sei bezüglich den nicht THC-haltigen Hanfsamen gutzuheissen. Diese seien wie die von der Staatsanwaltschaft nicht beschlagnahmten Gegenstände herauszugeben. Bezüglich des beschlagnahmten THC-haltigen Marihuanas, der als Waffen beschlagnahmten Gegenstände und des beschlagnahmten Bargeldes sei die Beschwerde abzuweisen.</w:t>
      </w:r>
    </w:p>
    <w:p>
      <w:r>
        <w:rPr>
          <w:b/>
        </w:rPr>
        <w:t>E. 2</w:t>
      </w:r>
    </w:p>
    <w:p>
      <w:r>
        <w:t>A.________ führt mit Eingabe vom 30. Juni 2021 (Postaufgabe 2. Juli 2021) Beschwerde in Strafsachen gegen den Beschluss des Kantonsgerichts Schwyz vom 4. Juni 2021. Das Bundesgericht verzichtete auf die Einholung von Vernehmlassungen, liess sich jedoch die kantonalen Akten zustellen.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des Kantonsgerichts nicht rechtsgenüglich auseinander und vermag mit seinen nicht sachbezogenen Ausführungen nicht aufzuzeigen, dass das Kantonsgericht bei der Behandlung der Beschwerde Recht im Sinne von Art. 42 Abs. 2 BGG verletzt hätte. Der Beschwerdeführer legt nicht dar,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