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1B_376/2017 vom 22. November 2017</w:t>
      </w:r>
    </w:p>
    <w:p>
      <w:r>
        <w:t>Bundesgericht, 2017-11-22, FR</w:t>
      </w:r>
    </w:p>
    <w:p>
      <w:r>
        <w:rPr>
          <w:b/>
        </w:rPr>
        <w:t xml:space="preserve">Quelle: </w:t>
      </w:r>
      <w:r>
        <w:t>https://mcp.opencaselaw.ch/entscheid/bger_1B_376_2017</w:t>
      </w:r>
    </w:p>
    <w:p>
      <w:r>
        <w:t>FR: TF 1B_376/2017 du 22 novembre 2017</w:t>
      </w:r>
    </w:p>
    <w:p>
      <w:r>
        <w:t>IT: TF 1B_376/2017 del 22 novembre 2017</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w:t>
      </w:r>
    </w:p>
    <w:p>
      <w:r>
        <w:t>Ne mettant pas un terme à la procédure pénale, la décision attaquée est de nature incidente. Elle est toutefois susceptible de causer un préjudice irréparable au sens de l' art. 93 al. 1 let. a LTF , dans la mesure où la levée des scellés pourrait porter atteinte au secret professionnel de l'avocat tel qu'invoqué par la recourante. L'entrée en matière se justifie d'autant plus qu'en l'espèce, l'ordonnance de levée des scellés peut présenter le caractère d'une décision partielle pour la recourante, tiers intéressé par un acte de procédure au sens de l' art. 105 al. 1 let . f CPP (cf. art. 91 let. b LTF ; arrêt 1B_63/2017 du 13 avril 2017 consid. 1 et l'arrêt cité). Celle-ci, en tant que détentrice des données mises sous scellés - à l'exception de celles relevant uniquement de la sphère privée de D.________ -, a un intérêt juridiquement protégé à l'annulation ou à la modification de la décision entreprise qui lève cette mesure sur des documents soi-disant protégés par le secret professionnel de l'avocat ( art. 81 al. 1 let. a et b LTF ).</w:t>
      </w:r>
    </w:p>
    <w:p>
      <w:r>
        <w:t>Eu égard au droit d'être entendu du MPC - à qui il ne pouvait être communiqué qu'une version caviardée du recours fédéral déposé le 1er septembre 2017 -, seul le mémoire corrigé du 13 septembre 2017 entre en considération pour l'examen de la présente cause. La première écriture déposée permet en revanche de retenir que la recourante a agi en temps utile ( art. 100 al. 1 LTF ).</w:t>
      </w:r>
    </w:p>
    <w:p>
      <w:r>
        <w:t>Les conclusions prises étant recevables ( art. 107 al. 2 LTF ), il y a lieu d'entrer en matière.</w:t>
      </w:r>
    </w:p>
    <w:p>
      <w:r>
        <w:rPr>
          <w:b/>
        </w:rPr>
        <w:t>E. 2</w:t>
      </w:r>
    </w:p>
    <w:p>
      <w:r>
        <w:t>La recourante ne remet plus en cause l'existence de soupçons suffisants de la commission d'une infraction par le prévenu. Elle ne conteste pas non plus qu'il existe des liens entre ce dernier, la débâcle du groupe C.________ et elle-même, ce qui justifiait la perquisition effectuée à son siège social, ainsi que l'ampleur des documents saisis. Elle ne soulève non plus aucune argumentation spécifique afin de démontrer que le secret des affaires invoqué devant la juridiction précédente devrait primer la recherche de la vérité dans le cas d'espèce.</w:t>
      </w:r>
    </w:p>
    <w:p>
      <w:r>
        <w:t>La recourante reproche en revanche au Tmc de n'avoir pas maintenu les scellés sur les pièces nos 31, 33, 34, 43, 44, 48, 49, 50, 51, 52 et 62, documents pour lesquels elle se prévaut du secret professionnel de l'avocat.</w:t>
      </w:r>
    </w:p>
    <w:p>
      <w:r>
        <w:rPr>
          <w:b/>
        </w:rPr>
        <w:t>E. 2.1</w:t>
      </w:r>
    </w:p>
    <w:p>
      <w:r>
        <w:t>Selon l' art. 264 al. 1 let . d CPP, quels que soient l'endroit où ils se trouvent et le moment où ils ont été conçus, ne peuvent être séquestrés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w:t>
      </w:r>
    </w:p>
    <w:p>
      <w:r>
        <w:t>En présence d'un secret professionnel avéré, notamment celui de l'avocat au sens de l' art. 171 CPP ( ATF 141 IV 77 consid. 4.2 p. 81), l'autorité de levée des scellés élimine les pièces couvertes par ce secret. Sur la base des explications circonstanciées du ministère public et du détenteur des éléments saisis, l'autorité écarte les objets/documents paraissant manifestement dénués de pertinence pour l'enquête pénale. Elle prend également les mesures nécessaires afin de préserver, parmi les documents remis aux enquêteurs, la confidentialité des tiers non concernés par l'enquête en cours ( ATF 141 IV 77 consid. 4.1 p. 81; 132 IV 63 consid. 4.1 à 4.6 p. 65 ss). Il en va de même lorsque des pièces et/ou objets bénéficient de la protection conférée par l' art. 264 al. 1 CPP ( ATF 141 IV 77 consid. 4.2 p. 81; arrêt 1B_168/2016 du 29 septembre 2016 consid. 3.1), lorsque l'intéressé se prévaut du respect de sa vie privée et familiale, ainsi qu'à être protégé contre l'emploi abusif des données le concernant ( art. 13 Cst. ; ATF 141 IV 77 consid. 4.3 p. 81 s.).</w:t>
      </w:r>
    </w:p>
    <w:p>
      <w:r>
        <w:t>En tout état de cause, les mesures de contrainte qui portent atteinte aux droits fondamentaux des personnes qui n'ont pas le statut de prévenu sont appliquées avec une retenue particulière ( art. 197 al. 2 CPP ).</w:t>
      </w:r>
    </w:p>
    <w:p>
      <w:r>
        <w:rPr>
          <w:b/>
        </w:rPr>
        <w:t>E. 2.2</w:t>
      </w:r>
    </w:p>
    <w:p>
      <w:r>
        <w:t>D'une manière générale, le secret professionnel des avocats ne couvre que leur activité professionnelle spécifique et ne s'étend pas à une activité commerciale sortant de ce cadre ( ATF 135 III 597 consid. 3.3 p. 601 et les arrêts cités). L'activité accessoire de l'avocat, en tant qu'elle ne relève pas du mandat typique, n'est pas couverte par le secret professionnel : tel peut par exemple être le cas en matière de</w:t>
      </w:r>
    </w:p>
    <w:p>
      <w:r>
        <w:t>compliance bancaire (arrêt 1B_85/2016 du 20 septembre 2016 consid. 4.2 publié in Pra 2017 24 215; Balthasar Bessenich, ius.focus 2016 11 2; Benoît Chappuis, Enquête interne et secret professionnel, Revue de l'Avocat 2017, p. 44; Csoport/Gehrig, Zum Anwaltsgeheimnis bei internen Untersuchungen im Finanzmarktbereich, Juletter 10 avril 2017, ch. 110; Viktor Lieber, Pra 2017 p. 224; critique : Groth/Ferrari-Visca, Höchstrichterlicher Angriff auf das Anwaltsgeheimnis ?, GesKR 2016 p. 500 ss; Rauber/Nater, RSJ 2017 p. 241 s.). Cette problématique est étrangère aux faits de la cause et ne nécessite pas d'être d'approfondie.</w:t>
      </w:r>
    </w:p>
    <w:p>
      <w:r>
        <w:t>Dans le cadre de l'activité typique de l'avocat, sont protégés les faits et documents confiés à l'avocat qui présentent un rapport certain avec l'exercice de sa profession (cf. l' art. 321 CP ), rapport qui peut être fort ténu. Cette protection trouve sa raison d'être dans le rapport de confiance particulier liant l'avocat et son client, qui doit pouvoir se fier entièrement à la discrétion de son mandataire. S'agissant des confidences, il convient d'examiner si l'intéressé s'adresse au mandataire en raison de ses compétences professionnelles, seules échappant au secret celles qui n'ont aucun rapport avec l'exécution du mandat. Une information est couverte par le secret dès qu'il est reconnaissable pour l'avocat que telle est la volonté de son client, que cette volonté soit explicite ou qu'elle ressorte des circonstances ( ATF 117 Ia 341 consid. 6a/bb p. 349 et les références citées; arrêt 1B_447/2015 du 25 avril 2016 consid. 2.1.3 publié in SJ 2017 I 196).</w:t>
      </w:r>
    </w:p>
    <w:p>
      <w:r>
        <w:t>Bénéficient notamment de la protection conférée par ce secret les faits portant sur la relation entre l'avocat et son client, qu'il s'agisse de l'existence même du mandat (arrêt 2C_704/2016 du 6 janvier 2017 consid. 3.1) et/ou des honoraires (BOHNET/MARTENET, Droit de la profession d'avocat, 2009, n° 1836 p. 755).</w:t>
      </w:r>
    </w:p>
    <w:p>
      <w:r>
        <w:rPr>
          <w:b/>
        </w:rPr>
        <w:t>E. 2.3</w:t>
      </w:r>
    </w:p>
    <w:p>
      <w:r>
        <w:t>En l'occurrence, l'autorité précédente a tout d'abord rappelé à juste titre que les échanges entre la recourante - représentée par ses administrateurs anciens ou actuels - et les avocats mandatés dans le cadre de la présente cause étaient couverts par le secret professionnel; tel était également le cas de la correspondance avec deux études et les scellés ont ainsi été maintenus sur les pièces y relatives (n os 35, 36, 39 à 42 et 59 à 61).</w:t>
      </w:r>
    </w:p>
    <w:p>
      <w:r>
        <w:t>C'est également avec raison que le Tmc a ensuite relevé que la transmission à titre de copie d'un courrier à un avocat ne suffisait pas pour considérer que ladite écriture serait couverte par le secret professionnel. Dès lors que ce secret protège avant tout la relation entre le mandant et son mandataire, la recourante ne saurait pas non plus s'en prévaloir sans autre explication pour exclure des courriers reçus, que ce soit dans le cadre de ses activités ou au cours d'une procédure judiciaire, de la part d'avocats agissant au nom de tiers; la recourante ne le soutient d'ailleurs pas. Elle ne conteste pas non plus le fait que le secret professionnel de l'avocat ne peut pas être invoqué lorsque l'avocat en cause agit en tant qu'administrateur d'une des sociétés du groupe auquel appartient la recourante. Seule est donc encore litigieuse l'éventuelle protection conférée par ce secret par rapport aux pièces précisément énumérées par la recourante.</w:t>
      </w:r>
    </w:p>
    <w:p>
      <w:r>
        <w:t>A cet égard, le Tmc reproche à la recourante de n'avoir pas rempli ses obligations en matière de collaboration (cf. ATF 141 IV 77 consid. 5.6 p. 87; 138 IV 225 consid. 7.1 p. 229);elle n'aurait ainsi pas indiqué de manière suffisamment précise pourquoi ces pièces seraient protégées par le secret professionnel de l'avocat. Cette appréciation ne saurait être suivie. En effet, dans ses écritures devant l'instance précédente, la recourante s'est penchée sur chaque pièce et a donné une explication pour chacune d'entre elles (étude et avocat en cause, type de mandat [avis de droit, intervention en justice]; cf. p. 18 ss des déterminations déposées le 3 février 2017 devant le Tmc). En tout état de cause, un examen - même sommaire - des pièces litigieuses suffit pour confirmer les éléments avancés (cf. en particulier les pièces n° 31, n° 43, n° 48, n° 50 et n° 52), à savoir que ces échanges paraissent entrer dans le champ des activités typiques d'un avocat (représentation en justice et/ou de conseils).</w:t>
      </w:r>
    </w:p>
    <w:p>
      <w:r>
        <w:t>Le raisonnement de l'autorité précédente s'explique d'autant moins que certains de ces documents concernent des échanges entre D.________, agissant pour son compte et/ou pour celui de la recourante, avec les mêmes avocats que ceux mandatés dans la présente cause; il ne peut au demeurant pas être exclu avec certitude que ces courriers seraient sans rapport avec les enquêtes menées par le MPC, respectivement par les autorités portugaises, sur la débâcle du groupe C.________ (cf. n° 44, n° 48 n° 49, n° 51 et n° 62). Enfin, indépendamment de la protection conférée par le secret professionnel, la pertinence de certaines de ces pièces pour les besoins de l'enquête n'est pas manifeste (cf. les procurations [n° 34], les notes d'honoraires [cf. n° 31 et n° 33] et les échanges en vue de fixer une séance [n° 44]).</w:t>
      </w:r>
    </w:p>
    <w:p>
      <w:r>
        <w:t>Par conséquent, le Tmc ne pouvait, sauf à violer le droit fédéral, prononcer la levée des scellés sur les pièces nos 31, 33, 34, 43, 44, 48, 49, 50, 51, 52, ainsi que 62 et, partant, ce grief doit être admis.</w:t>
      </w:r>
    </w:p>
    <w:p>
      <w:r>
        <w:rPr>
          <w:b/>
        </w:rPr>
        <w:t>E. 2.4</w:t>
      </w:r>
    </w:p>
    <w:p>
      <w:r>
        <w:t>Dès lors que les considérations précédentes suffisent pour admettre les conclusions principales de la recourante, il n'y a pas lieu d'examiner les griefs soulevés à l'appui des conclusions subsidiaires.</w:t>
      </w:r>
    </w:p>
    <w:p>
      <w:r>
        <w:rPr>
          <w:b/>
        </w:rPr>
        <w:t>E. 3</w:t>
      </w:r>
    </w:p>
    <w:p>
      <w:r>
        <w:t>Il s'ensuit que le recours est admis. L'ordonnance du 31 juillet 2017 est annulée dans la mesure où elle lève les scellés sur les pièces nos 31, 33, 34, 43, 44, 48, 49, 50, 51, 52 et 62 du bordereau de pièces produit par la recourante au Tmc. Pour le surplus, la levée des scellés telle qu'ordonnée par l'autorité précédente est confirmée (cf. ch. I de son dispositif). La cause lui est renvoyée pour qu'elle procède à la remise au MPC des pièces et documents pour lesquels la levée des scellés est autorisée, restitue à la recourante les pièces sur lesquelles cette mesure est maintenue et rende une nouvelle décision sur les frais et dépens.</w:t>
      </w:r>
    </w:p>
    <w:p>
      <w:r>
        <w:t>La recourante, qui obtient gain de cause avec l'assistance d'un avocat, a droit à des dépens à la charge de la Confédération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