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375/2012 vom 15. August 2012</w:t>
      </w:r>
    </w:p>
    <w:p>
      <w:r>
        <w:t>Bundesgericht, 2012-08-15, FR</w:t>
      </w:r>
    </w:p>
    <w:p>
      <w:r>
        <w:rPr>
          <w:b/>
        </w:rPr>
        <w:t xml:space="preserve">Quelle: </w:t>
      </w:r>
      <w:r>
        <w:t>https://mcp.opencaselaw.ch/entscheid/bger_1B_375_2012</w:t>
      </w:r>
    </w:p>
    <w:p>
      <w:r>
        <w:t>FR: TF 1B 375/2012 du 15 août 2012</w:t>
      </w:r>
    </w:p>
    <w:p>
      <w:r>
        <w:t>IT: TF 1B 375/2012 del 15 agosto 2012</w:t>
      </w:r>
    </w:p>
    <w:p>
      <w:pPr>
        <w:pStyle w:val="Heading2"/>
      </w:pPr>
      <w:r>
        <w:t>Regeste</w:t>
      </w:r>
    </w:p>
    <w:p>
      <w:r>
        <w:t>remplacement du défenseur d'office | Procédure pénale</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 décision par laquelle le juge refuse un changement de défenseur d'office constitue une décision incidente, qui ne met pas fin à la procédure ( ATF 126 I 207 consid. 1a p. 209; 111 Ia 276 consid. 2b p. 278 s.). Une telle décision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134 I 83 consid. 3.1 p. 86 s.; 133 IV 335 consid. 4 p. 338, 139 consid. 4 p. 141). Il incombe au recourant de démontrer l'existence d'un tel préjudice lorsque celui-ci n'est pas d'emblée évident ( ATF 134 III 426 consid. 1.2 p. 429; 133 II 353 consid. 1 p. 356 et les références). Selon la jurisprudence, le refus de désigner un avocat d'office au prévenu est susceptible de lui causer un dommage irréparable au sens de l' art. 93 al. 1 let. a LTF ( ATF 133 IV 335 consid. 4 p. 338; 129 I 281 consid. 1.1 p. 283; 129 I 129 consid. 1.1 p. 131). En revanche, la décision ayant pour objet de refuser un changement de défenseur d'office n'entraîne en principe aucun préjudice juridique, car le prévenu continue d'être assisté par le défenseur désigné et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ou encore lorsque l'autorité refuse arbitrairement de tenir compte des voeux émis par la partie assistée (arrêts 1B_74/2008 du 18 juin 2008 consid. 2; 1B_245/2008 du 11 novembre 2008 consid. 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114 Ia 101 consid. 3 p. 104; arrêt 6B_770/2011 du 12 juillet 2012 consid. 2.4 destiné à la publication).</w:t>
      </w:r>
    </w:p>
    <w:p>
      <w:r>
        <w:rPr>
          <w:b/>
        </w:rPr>
        <w:t>E. 1.2</w:t>
      </w:r>
    </w:p>
    <w:p>
      <w:r>
        <w:t>En l'occurrence, la relation de confiance entre le prévenu et l'avocat d'office désigné est certes entamée, le recourant ayant demandé à plusieurs reprises le remplacement de cet avocat en formulant de nombreuses critiques à son encontre. Le défenseur en question continue néanmoins d'assister le recourant et il n'est pas d'emblée évident qu'il ne soit plus en mesure de le faire efficacement. Le recourant, reproche notamment à son avocat d'office de n'avoir pas assisté personnellement à un certain nombre d'audiences et d'avoir omis de recourir contre les décisions relatives à la détention préventive et au refus de contre-expertise. Le Tribunal cantonal a répondu de manière circonstanciée à ces critiques, en relevant que le refus de recourir contre les décisions précitées était fondé et que Me Y.________ était régulièrement intervenu lors des différentes auditions, en se faisant le cas échéant remplacer par son associé et son stagiaire. Cette appréciation n'est pas remise en cause de manière convaincante par le recourant, qui se borne à rappeler les audiences auxquelles l'avocat d'office ne s'est pas présenté personnellement et à répéter qu'il aurait fallu recourir contre les décisions susmentionnées. Or, cela ne suffit pas à démontrer que l'avocat d'office a gravement failli dans l'exécution du mandat qui lui a été confié. En effet, même si les nombreux remplacements de Me Y.________ par son associé ou son stagiaire peuvent éventuellement prêter le flanc à la critique, on ne peut pas considérer en l'état que cet avocat d'office a laissé apparaître de graves carences dans la défense des intérêts du prévenu. De plus, il est évident que l'avocat peut renoncer à introduire un recours qui lui paraît d'emblée voué à l'échec et qu'il n'est pas tenu de suivre les instructions de la partie assistée, dont il n'est pas simplement le porte-parole sans esprit critique (cf. ATF 126 I 194 consid. 3d p. 199 et les références). En définitive, la relation de confiance entre le recourant et l'intimé n'est pas atteinte au point d'empêcher une défense efficace et l'autorité n'a pas refusé arbitrairement de tenir compte des voeux du prévenu. Celui-ci continue donc d'être assisté par un avocat qui apparaît en mesure de défendre ses intérêts. Dans ces conditions, la décision incidente contestée par le recourant ne lui cause pas de préjudice juridique irréparable au sens de la jurisprudence susmentionnée, de sorte qu'elle ne peut pas faire l'objet d'un recours au Tribunal fédéral.</w:t>
      </w:r>
    </w:p>
    <w:p>
      <w:r>
        <w:rPr>
          <w:b/>
        </w:rPr>
        <w:t>E. 1.3</w:t>
      </w:r>
    </w:p>
    <w:p>
      <w:r>
        <w:t>Les pièces nouvelles déposées par le recourant à l'appui de ses observations complémentaires ne sauraient modifier cette appréciation, dès lors qu'il s'agit de moyens de preuve nouveaux irrecevables ( art. 99 al. 1 LTF ). Il convient encore de préciser que la direction de la procédure conserve la faculté d'ordonner en tout temps le remplacement du défenseur d'office en application de l' art. 134 al. 2 CPP , ce qu'il lui appartiendra de faire si la relation de confiance entre le prévenu et l'intimé devait se détériorer au point d'empêcher une défense efficace.</w:t>
      </w:r>
    </w:p>
    <w:p>
      <w:r>
        <w:rPr>
          <w:b/>
        </w:rPr>
        <w:t>E. 2</w:t>
      </w:r>
    </w:p>
    <w:p>
      <w:r>
        <w:t>Il s'ensuit que le recours doit être déclaré irrecevable. Il n'y a pas lieu d'accorder l'assistance judiciaire, dès lors que les conclusions du recours apparaissaient d'emblée vouées à l'échec ( art. 64 al. 1 LTF ). Le recourant, qui succombe, doit par conséquent supporter les frais de la présente procédure ( art. 66 al. 1 LTF ). L'intimé demande une indemnité à titre de dépens, à la charge de l'Etat du Valais. Les dépens ne peuvent toutefois être mis qu'à la charge de la partie qui succombe ( art. 68 al. 1 LTF ). Or, une telle issue ne se justifie pas en l'espèce, ne serait-ce que parce que l'intimé demeure l'avocat d'office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