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374/2017 vom 13. November 2017</w:t>
      </w:r>
    </w:p>
    <w:p>
      <w:r>
        <w:t>Bundesgericht, 2017-11-13, FR</w:t>
      </w:r>
    </w:p>
    <w:p>
      <w:r>
        <w:rPr>
          <w:b/>
        </w:rPr>
        <w:t xml:space="preserve">Quelle: </w:t>
      </w:r>
      <w:r>
        <w:t>https://mcp.opencaselaw.ch/entscheid/bger_1B_374_2017</w:t>
      </w:r>
    </w:p>
    <w:p>
      <w:r>
        <w:t>FR: TF 1B 374/2017 du 13 novembre 2017</w:t>
      </w:r>
    </w:p>
    <w:p>
      <w:r>
        <w:t>IT: TF 1B 374/2017 del 13 novembre 2017</w:t>
      </w:r>
    </w:p>
    <w:p>
      <w:pPr>
        <w:pStyle w:val="Heading2"/>
      </w:pPr>
      <w:r>
        <w:t>Regeste</w:t>
      </w:r>
    </w:p>
    <w:p>
      <w:r>
        <w:t>procédure pénale; ordonnance de jonction; mesures provisionnelles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 décision attaquée - rendue en instance cantonale unique (art. 80 al. 2 in fine LTF) - concerne le refus d'accorder l'effet suspensif et les mesures provisionnelles requises lors du dépôt d'un recours cantonal dirigé contre une ordonnance de jonction de deux procédures pénales. La voie du recours en matière pénale au sens des art. 78 ss LTF est ainsi en principe ouverte.</w:t>
      </w:r>
    </w:p>
    <w:p>
      <w:r>
        <w:rPr>
          <w:b/>
        </w:rPr>
        <w:t>E. 1.2</w:t>
      </w:r>
    </w:p>
    <w:p>
      <w:r>
        <w:t>S'agissant d'une décision incidente ne tombant pas dans le champ d'application de l' art. 92 LTF , le recours n'est ouvert que si la partie recourante est exposée à un préjudice irréparable au sens de l' art. 93 al. 1 let. a LTF ( ATF 137 IV 237 consid. 1.1 p. 239 s.). Selon la recourante, elle subirait un tel dommage si un droit d'accès était accordé aux intervenants de la procédure P/930/2013; ceux-ci seraient ainsi à même de pouvoir prendre des mesures afin de prévenir les éventuelles poursuites pénales à leur encontre qui pourraient découler de la cause P/2277/2016. La recourante omet toutefois de prendre en considération que la décision attaquée se limite à ne pas empêcher le Ministère public de joindre les deux causes pendant la durée de la procédure de recours cantonale. Elle n'autorise en revanche pas les différents intervenants à avoir accès au dossier pénal des causes jointes; le risque de collusion qui pourrait résulter de cette situation n'est ainsi à ce stade pas réalisé. Si une telle requête devait être déposée par l'un ou l'autre des différents intéressés dans les procédures P/930/2013 et P/2277/2016, le Ministère public serait appelé à examiner leur qualité procédurale, à interpeller les autres éventuels intervenants - sauf à violer leur droit d'être entendu -, puis à rendre une décision sujette à recours (cf. art. 102 et 393 al. 1 let. a CPP ). En l'état, la recourante ne subit donc aucun préjudice irréparable qu'une autre décision ultérieure ne pourrait réparer, notamment en cas d'admission de son recours cantonal contre la jonction des causes. Partant, le recours est irrecevable. Au demeurant, les risques liés à un droit d'accès prématuré au dossier pénal semblent d'autant moins concrets que la recourante prétend qu'aucune mesure d'instruction n'a été effectuée dans la procédure P/2277/2016 (cf. en particulier ad 19, 21, 84 et 92 du mémoire de recours). Les conditions posées à l' art. 101 al. 1 CPP pour obtenir un droit d'accès au dossier ne paraissent ainsi vraisemblablement pas réalisées. Cela vaut d'autant plus que cette disposition présuppose la qualité de parties; or, ce statut par rapport à l'une des infractions dénoncées pourrait ne pas valoir pour l'ensemble des faits et/ou autres chefs de prévention examinés, ce qui peut, le cas échéant, limiter le droit d'accès à la procédure qui concerne le (s) requérant (s) (cf. arrêt 1B_438/2016 du 14 mars 2017 consid. 2, spécialement 2.4).</w:t>
      </w:r>
    </w:p>
    <w:p>
      <w:r>
        <w:rPr>
          <w:b/>
        </w:rPr>
        <w:t>E. 1.3</w:t>
      </w:r>
    </w:p>
    <w:p>
      <w:r>
        <w:t>Invoquant en particulier les art. 29 al. 1 et 2, 35 Cst. , ainsi que 6 par. 1 CEDH, la recourante se prévaut encore d'un déni de justice formel. Elle prétend en substance qu'en l'absence d'effet suspensif à son recours cantonal, la recherche de la vérité matérielle serait compromise ( art. 6 et 7 CPP ). Dans la mesure où un tel raisonnement pourrait être suivi, les considérations précédentes permettent également d'écarter ce grief. En particulier, il est à nouveau relevé que la décision entreprise n'autorise pas l'accès au dossier pénal. On ne voit dès lors pas en quoi la recherche de la vérité - tâche incombant au Ministère public - serait mise en danger par le défaut d'effet suspensif au recours cantonal. Il n'est pas non plus apparent que la cour cantonale refuserait ou tarderait à statuer sur la contestation soulevée au fond; la recourante ne le soutient d'ailleurs pas.</w:t>
      </w:r>
    </w:p>
    <w:p>
      <w:r>
        <w:rPr>
          <w:b/>
        </w:rPr>
        <w:t>E. 2</w:t>
      </w:r>
    </w:p>
    <w:p>
      <w:r>
        <w:t>Il s'ensuit que le recours est irrecevable. 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