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373/2020 vom 7. August 2020</w:t>
      </w:r>
    </w:p>
    <w:p>
      <w:r>
        <w:t>Bundesgericht, 2020-08-07, DE</w:t>
      </w:r>
    </w:p>
    <w:p>
      <w:r>
        <w:rPr>
          <w:b/>
        </w:rPr>
        <w:t xml:space="preserve">Quelle: </w:t>
      </w:r>
      <w:r>
        <w:t>https://mcp.opencaselaw.ch/entscheid/bger_1B_373_2020</w:t>
      </w:r>
    </w:p>
    <w:p>
      <w:r>
        <w:t>FR: TF 1B 373/2020 du 7 août 2020</w:t>
      </w:r>
    </w:p>
    <w:p>
      <w:r>
        <w:t>IT: TF 1B 373/2020 del 7 agosto 2020</w:t>
      </w:r>
    </w:p>
    <w:p>
      <w:pPr>
        <w:pStyle w:val="Heading2"/>
      </w:pPr>
      <w:r>
        <w:t>Regeste</w:t>
      </w:r>
    </w:p>
    <w:p>
      <w:r>
        <w:t>Strafverfahren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erhob mit Eingabe vom 16. Juli 2020 Beschwerde gegen eine Verfügung vom 29. Juni 2020 betreffend Verfahrensnummer MU1 19 4215/PIP. Die angefochtene Verfügung lag der Beschwerde nicht bei und aus der Eingabe ergab sich nicht, gegen welche Behörde sich die Beschwerde richten sollte. Das Bundesgericht forderte A.________ mit Verfügung vom 20. Juli 2020 auf, die fehlende angefochtene Verfügung bis spätestens am 30. Juli 2020 dem Bundesgericht einzureichen, ansonsten die Rechtsschrift unbeachtet bleibe ( Art. 42 Abs. 5 BGG ). Da der Beschwerdeführer dieser Aufforderung innert Frist nicht nachkam, ist androhungsgemäss in Anwendung von Art. 42 Abs. 3 BGG in Verbindung mit Art. 42 Abs. 5 BGG im vereinfachten Verfahren nach Art. 108 Abs. 1 BGG auf die Beschwerde nicht einzutreten.</w:t>
      </w:r>
    </w:p>
    <w:p>
      <w:r>
        <w:rPr>
          <w:b/>
        </w:rPr>
        <w:t>E. 2</w:t>
      </w:r>
    </w:p>
    <w:p>
      <w:r>
        <w:t>Auf eine Kostenauflage ist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