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1B_373/2015 vom 27. Oktober 2015</w:t>
      </w:r>
    </w:p>
    <w:p>
      <w:r>
        <w:t>Bundesgericht, 2015-10-27, DE</w:t>
      </w:r>
    </w:p>
    <w:p>
      <w:r>
        <w:rPr>
          <w:b/>
        </w:rPr>
        <w:t xml:space="preserve">Quelle: </w:t>
      </w:r>
      <w:r>
        <w:t>https://mcp.opencaselaw.ch/entscheid/bger_1B_373_2015</w:t>
      </w:r>
    </w:p>
    <w:p>
      <w:r>
        <w:t>FR: TF 1B_373/2015 du 27 octobre 2015</w:t>
      </w:r>
    </w:p>
    <w:p>
      <w:r>
        <w:t>IT: TF 1B_373/2015 del 27 ottobre 2015</w:t>
      </w:r>
    </w:p>
    <w:p>
      <w:pPr>
        <w:pStyle w:val="Heading2"/>
      </w:pPr>
      <w:r>
        <w:t>Erwägungen</w:t>
      </w:r>
    </w:p>
    <w:p>
      <w:r>
        <w:rPr>
          <w:b/>
        </w:rPr>
        <w:t>E. 1</w:t>
      </w:r>
    </w:p>
    <w:p>
      <w:r>
        <w:t>Im Berufungsverfahren gegen das Urteil des Regionalgerichts Emmental-Oberaargau vom 19. Oktober 2012 ersuchte der Beschuldigte A.________ mit Schreiben vom 1. August 2015 um Widerruf bzw. Wechsel der amtlichen Verteidigung. Mit Verfügung vom 10. September 2015 wies die Verfahrensleitung der 1. Strafkammer des Obergerichts des Kantons Bern das Gesuch um Widerruf/Wechsel der amtlichen Verteidigung ab und bestätigte das amtliche Mandat von Rechtsanwalt Dr. Landmann.</w:t>
      </w:r>
    </w:p>
    <w:p>
      <w:r>
        <w:rPr>
          <w:b/>
        </w:rPr>
        <w:t>E. 2</w:t>
      </w:r>
    </w:p>
    <w:p>
      <w:r>
        <w:t>Mit Eingabe vom 19. Oktober 2015 (Postaufgabe 21. Oktober 2015) führt A.________ Beschwerde in Strafsachen gegen die Verfügung der 1. Strafkammer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1. Strafkammer, die zur Abweisung seines Gesuchs um Widerruf bzw. Wechsel der amtlichen Verteidigung führte, nicht auseinander. Aus seiner hauptsächlich appellatorischen Kritik ergibt sich nicht, inwiefern die Begründung der 1.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