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372/2016 vom 17. Januar 2017</w:t>
      </w:r>
    </w:p>
    <w:p>
      <w:r>
        <w:t>Bundesgericht, 2017-01-17, FR</w:t>
      </w:r>
    </w:p>
    <w:p>
      <w:r>
        <w:rPr>
          <w:b/>
        </w:rPr>
        <w:t xml:space="preserve">Quelle: </w:t>
      </w:r>
      <w:r>
        <w:t>https://mcp.opencaselaw.ch/entscheid/bger_1B_372_2016</w:t>
      </w:r>
    </w:p>
    <w:p>
      <w:r>
        <w:t>FR: TF 1B 372/2016 du 17 janvier 2017</w:t>
      </w:r>
    </w:p>
    <w:p>
      <w:r>
        <w:t>IT: TF 1B 372/2016 del 17 gennaio 2017</w:t>
      </w:r>
    </w:p>
    <w:p>
      <w:pPr>
        <w:pStyle w:val="Heading2"/>
      </w:pPr>
      <w:r>
        <w:t>Regeste</w:t>
      </w:r>
    </w:p>
    <w:p>
      <w:r>
        <w:t>procédure pénale, qualité de partie plaignante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 L'arrêt attaqué confirme l'ordonnance du Ministère public de retirer la qualité de partie plaignante au recourant. La décision entreprise a été rendue au cours d'une procédure pénale par une autorité statuant en dernière instance cantonale ( art. 80 LTF ); elle est donc susceptible d'un recours en matière pénale au sens des art. 78 ss LTF ; le recours constitutionnel subsidiaire est par conséquent irrecevable. Le recourant, qui se voit dénier la qualité de partie plaignante, a pris part à la procédure devant l'autorité précédente et a un intérêt juridique à l'annulation ou à la réforme de la décision attaquée ( art. 81 LTF ; ATF 141 IV 1 consid. 1 p. 4 s.; arrêt 1B_190/2016 du 1 er septembre 2016 consid. 1). Selon la jurisprudence, une décision qui rejette une demande de constitution de partie plaignante dans le procès pénal, respectivement retire cette qualité, présente, pour la partie concernée qui se trouve définitivement écartée de la procédure, les traits d'une décision finale au sens de l' art. 90 LTF ( ATF 139 IV 310 consid. 1 p. 312). Le recours en matière pénale, déposé en temps utile ( art. 100 al. 1 LTF ), est dès lors recevable.</w:t>
      </w:r>
    </w:p>
    <w:p>
      <w:r>
        <w:rPr>
          <w:b/>
        </w:rPr>
        <w:t>E. 2</w:t>
      </w:r>
    </w:p>
    <w:p>
      <w:r>
        <w:t>Dans un premier grief, le recourant se plaint d'une violation de son droit d'être entendu. Il reproche à cet égard à l'autorité précédente d'avoir renvoyé à des considérants ne figurant pas dans le jugement attaqué; il aurait dès lors reçu une version incomplète de l'arrêt entrepris, étant ainsi dans l'impossibilité de le comprendre et/ou de l'attaquer correctement. Certes, la numérotation des considérants comporte quelques erreurs. Cela ne suffit cependant pas pour considérer que le jugement attaqué ne serait pas complet ou serait incompréhensible. En effet, vu la motivation donnée, les éléments auxquelles la cour cantonale se réfère dans son consid. 4.3 en mentionnant un consid. 4.1 inexistant sont ceux relevés précédemment dans ses considérants - et par ailleurs répétés pour la plupart -, à savoir en particulier le retrait de la plainte intervenu le 4 mars 2010 (consid. 3.3), l'arrêt de la Chambre d'accusation du 28 juin 2011 (consid. 3), la reprise de la procédure d'instruction (consid. 3.1) et la participation du recourant à celle-ci en tant que partie plaignante (consid. 3.3). Quant au second renvoi erroné (consid. 5.5 : "comme vu ci-avant (cf. ch. 4.4"), il se limite à indiquer que la question du courrier du 8 juin 2016 a déjà été évoquée, ce qui ressort effectivement de la lecture de l'arrêt entrepris (cf. ad consid. 4.2/ii p. 15). Ce grief doit donc être rejeté.</w:t>
      </w:r>
    </w:p>
    <w:p>
      <w:r>
        <w:rPr>
          <w:b/>
        </w:rPr>
        <w:t>E. 3</w:t>
      </w:r>
    </w:p>
    <w:p>
      <w:r>
        <w:t>La cour cantonale a considéré que le retrait de plainte opéré le 4 mars 2010 était valable s'agissant de l'infraction de faux dans les titres respectivement de complicité, qui pourrait être reprochée à D.________ et à K.________ (cf. consid. 5.5). Le recourant ne développe aucune argumentation tendant à remettre en cause cette constatation. Partant, sur ce point, l'arrêt cantonal est définitif. En revanche, le recourant reproche à l'autorité précédente une appréciation arbitraire des faits et des violations des art. 146 CP et 115 CPP. Il lui fait grief de lui avoir dénié la qualité de partie plaignante s'agissant de l'éventuelle réalisation d'une escroquerie par G.________ et par H.________. Selon le recourant, les conditions de cette infraction, dont l'astuce, seraient réalisées. Il soutient en substance à cet égard que le - faux - délai péremptoire indiqué par les deux susmentionnés pour payer le solde réclamé par le vendeur aurait engendré une situation d'urgence excluant toute vérification de leurs dires et justifiant la mise en oeuvre rapide du crédit-relais par I.________; or, cette opération n'aurait pas eu comme but d'éviter la perte de l'entier des investissements déjà consentis, mais de permettre à I.________ d'obtenir gratuitement 15% du capital-action de E.________, cela au préjudice du recourant puisque son pourcentage de parts aurait été réduit en conséquence.</w:t>
      </w:r>
    </w:p>
    <w:p>
      <w:r>
        <w:rPr>
          <w:b/>
        </w:rPr>
        <w:t>E. 3.1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(al. 1); sont aussi considérées comme des lésés les personnes qui ont qualité pour déposer plainte pénale (al. 2).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 ATF 141 IV 1 consid. 3.1 p. 5). Celui qui prétend à la qualité de partie plaignante doit rendre vraisemblable le préjudice subi et doit en outre démontrer le rapport de causalité entre son dommage et l'infraction poursuivie ( ATF 141 IV 1 consid. 3.1 p. 6). La jurisprudence a de plus précisé que lors d'infraction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140 IV 155 consid. 3.3.1 p. 158; arrêt 6B_1315/2015 du 9 août 2016 consid. 1.2.1 et les arrêts cités).</w:t>
      </w:r>
    </w:p>
    <w:p>
      <w:r>
        <w:rPr>
          <w:b/>
        </w:rPr>
        <w:t>E. 3.2</w:t>
      </w:r>
    </w:p>
    <w:p>
      <w:r>
        <w:t>En l'occurrence, la cession gracieuse de 15% du capital-action de E.________ implique que cette société dispose en pratique de fonds ne correspondant pas au montant inscrit à titre de capital-action. Il n'y a cependant pas lieu de déterminer dans quelle mesure la société ou ses autres actionnaires subiraient en conséquence un quelconque préjudice en raison de cet acte. La question d'un éventuel dommage pour les actionnaires au moment de la répartition du bénéfice - divisé en principe selon le nombre total d'actions - peut également rester indécise (cf. ad A/2 p. 14 s. du mémoire de recours). En effet, de telles problématiques n'entreraient en considération que dans l'hypothèse où la personne en cause aurait la qualité indiscutable d'actionnaire de la société E.________. Certes, on peine à comprendre à la lecture de l'arrêt cantonal qui détiendrait cette société, respectivement à quel pourcentage (cf. en particulier ad consid. 7.3/ii p. 22 s.). Cela étant, le recourant ne soutient pas être un actionnaire proprement dit de E.________, puisqu'il explique lui-même que les 47% des actions E.________ dont il se prévaut seraient détenues par B.________ (cf. ad 29 p. 11 et B/3 p. 20 de son mémoire). Cela ressort également de l'attribution à cette société des parts de E.________ lors de la convention du 19 février 2010 (cf. p. 4 dudit accord) - octroi qui n'est contesté que dans sa quotité (pourcentage retenu, avec ou sans prise en compte des 15% détenus par I.________ [cf. ad A/1 p. 13 s. et A/3 p. 15 du mémoire de recours]) -, ainsi que des contrats de fiducie établis préalablement avec L.________ (cf. ad D/t p. 7 de l'arrêt attaqué). L'absence de qualité d'actionnaire du recourant est par ailleurs confirmée par son invocation de la théorie de la transparence ("Durchgriff", sur cette notion, cf. ATF 132 III 489 consid. 3.2 p. 493; 128 II 329 consid. 2.4 p. 333) pour se prévaloir, à titre personnel, des droits de la société qu'il a pourtant utilisée précédemment pour son opération immobilière. Ces principes ne lui sont cependant d'aucun secours. Cette théorie n'a en effet pas été développée pour permettre à une personne physique, soit en l'espèce le recourant, de choisir, selon les circonstances et en fonction des avantages qu'elle pourrait en retirer, de procéder par le biais d'une société ou de faire abstraction de l'existence de celle-ci. Vu ces considérations, il apparaît que le recourant ne subit aucun préjudice direct à la suite des faits dénoncés. Partant, la qualité de lésé au sens de l' art. 115 CPP ne peut lui être accordée et la Chambre pénale de recours n'a pas violé le droit fédéral, ni a fortiori fait preuve d'arbitraire, en confirmant l'ordonnance de retrait de cette qualité prononcée par le Ministère public.</w:t>
      </w:r>
    </w:p>
    <w:p>
      <w:r>
        <w:rPr>
          <w:b/>
        </w:rPr>
        <w:t>E. 3.3</w:t>
      </w:r>
    </w:p>
    <w:p>
      <w:r>
        <w:t>Il n'est dès lors pas nécessaire d'examiner dans quelle mesure le comportement adopté par les deux prévenus encore concernés serait constitutif d'un comportement astucieux et quel serait l'éventuel dommage qui en aurait résulté (cf. art. 146 CP ); ces questions relèvent du juge du fond en cas de mise en accusation ou du Ministère public si une ordonnance pénale ou un classement devait être envisagé.</w:t>
      </w:r>
    </w:p>
    <w:p>
      <w:r>
        <w:rPr>
          <w:b/>
        </w:rPr>
        <w:t>E. 4</w:t>
      </w:r>
    </w:p>
    <w:p>
      <w:r>
        <w:t>Il s'ensuit que le recours est rejeté. Le recourant, qui succombe, supporte les frais judiciaires ( art. 66 al. 1 LTF ). Il n'y a pas lieu d'accorder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