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370/2019 vom 4. Oktober 2019</w:t>
      </w:r>
    </w:p>
    <w:p>
      <w:r>
        <w:t>Bundesgericht, 2019-10-04, FR</w:t>
      </w:r>
    </w:p>
    <w:p>
      <w:r>
        <w:rPr>
          <w:b/>
        </w:rPr>
        <w:t xml:space="preserve">Quelle: </w:t>
      </w:r>
      <w:r>
        <w:t>https://mcp.opencaselaw.ch/entscheid/bger_1B_370_2019</w:t>
      </w:r>
    </w:p>
    <w:p>
      <w:r>
        <w:t>FR: TF 1B 370/2019 du 4 octobre 2019</w:t>
      </w:r>
    </w:p>
    <w:p>
      <w:r>
        <w:t>IT: TF 1B 370/2019 del 4 ottobre 2019</w:t>
      </w:r>
    </w:p>
    <w:p>
      <w:pPr>
        <w:pStyle w:val="Heading2"/>
      </w:pPr>
      <w:r>
        <w:t>Regeste</w:t>
      </w:r>
    </w:p>
    <w:p>
      <w:r>
        <w:t>Procédure pénale; mesure de contrainte; ordonnance de dépôt | Procédure pénale</w:t>
      </w:r>
    </w:p>
    <w:p>
      <w:pPr>
        <w:pStyle w:val="Heading2"/>
      </w:pPr>
      <w:r>
        <w:t>Erwägungen</w:t>
      </w:r>
    </w:p>
    <w:p>
      <w:r>
        <w:rPr>
          <w:b/>
        </w:rPr>
        <w:t>E. 1</w:t>
      </w:r>
    </w:p>
    <w:p>
      <w:r>
        <w:t>La décision attaquée est une décision d'irrecevabilité prise en dernière instance cantonale ( art. 80 al. 1 LTF ) dans le cadre d'une procédure pénale.</w:t>
      </w:r>
    </w:p>
    <w:p>
      <w:r>
        <w:rPr>
          <w:b/>
        </w:rPr>
        <w:t>E. 1.1</w:t>
      </w:r>
    </w:p>
    <w:p>
      <w:r>
        <w:t>Indépendamment de la nature de la décision du Ministère public, l'auteur d'un recours déclaré irrecevable en instance cantonale a qualité, au sens de l' art. 81 LTF , pour contester ce prononcé. Lorsqu'un recours porte sur la question de l'existence même d'un recours cantonal, le recours auprès du Tribunal fédéral est en principe recevable indépendamment de l'exigence d'un préjudice irréparable au sens de l' art. 93 al. 1 let. a LTF ( ATF 143 I 344 consid. 1.2 p. 346; ATF 138 IV 258 consid. 1.1 p. 261). Seule la question de la recevabilité du recours peut cependant être portée devant le Tribunal fédéral.</w:t>
      </w:r>
    </w:p>
    <w:p>
      <w:r>
        <w:rPr>
          <w:b/>
        </w:rPr>
        <w:t>E. 1.2</w:t>
      </w:r>
    </w:p>
    <w:p>
      <w:r>
        <w:t>Pour le surplus, le recours a été déposé en temps utile ( art. 100 al. 1 LTF ) contre une décision rendue par une autorité statuant en tant que dernière instance cantonale ( art. 80 al. 1 LTF ). Partant, il y a lieu d'entreren matière.</w:t>
      </w:r>
    </w:p>
    <w:p>
      <w:r>
        <w:rPr>
          <w:b/>
        </w:rPr>
        <w:t>E. 2</w:t>
      </w:r>
    </w:p>
    <w:p>
      <w:r>
        <w:t>La recourante soutient qu'en tant qu'ils concernaient le rappel des fonds virés depuis son compte, préalablement au séquestre de ce dernier, les courriers des 4 septembre 2018 et 7 décembre 2018 avaient trait à une mesure de contrainte et étaient partant susceptibles de recours sur le plan cantonal. Elle soutient en particulier, sous l'angle de sa qualité pour recourir au regard de l' art. 382 al. 1 CPP , disposer d'un intérêt juridiquement protégé, dès lors que la mesure litigieuse lui cause un "dommage réputationnel et économique" et porte atteinte à la garantie de la propriété ( art. 26 Cst. ) ainsi qu'à la liberté économique ( art. 27 Cst. ).</w:t>
      </w:r>
    </w:p>
    <w:p>
      <w:r>
        <w:rPr>
          <w:b/>
        </w:rPr>
        <w:t>E. 2.1.1</w:t>
      </w:r>
    </w:p>
    <w:p>
      <w:r>
        <w:t>Aux termes de l' art. 382 al. 1 CPP ,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 ATF 145 IV 161 consid. 3.1 p. 163 et la référence citée). L'intérêt juridiquement protégé se distingue de l'intérêt digne de protection, qui n'est pas nécessairement un intérêt juridique, mais peut être un intérêt de fait. Un simple intérêt de fait ne suffit pas à conférer la qualité pour recourir ( ATF 136 I 274 consid. 1.3 p. 276; ATF 133 IV 121 consid. 1.2 p. 124; arrêt 6B_601/2017 du 26 février 2018 consid. 2).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 ATF 131 IV 191 consid. 1.2.1 p. 193 et les références citées). La notion de partie - énoncée à l' art. 382 CPP - doit notamment être comprise au sens de l' art. 105 CPP ( ATF 139 IV 78 consid. 3.1 p. 80). Selon l'al. 1 let. f de cette disposition, participent à la procédure les tiers touchés par des actes de procédure. Lorsque des participants à la procédure visés à l'al. 1 sont directement touchés dans leurs droits, la qualité de partie leur est reconnue dans la mesure nécessaire à la sauvegarde de leurs intérêts ( art. 105 al. 2 CPP ). Pour que le participant à la procédure se voie reconnaître la qualité de partie en application de l' art. 105 al. 2 CPP , il faut que l'atteinte à ses droits soit directe, immédiate et personnelle, une atteinte de fait ou indirecte étant insuffisante. L'atteinte est par exemple directe lorsqu'elle entraîne une violation des droits fondamentaux ou des libertés fondamentales, en particulier lorsque des mesures de contrainte sont ordonnées ( ATF 145 IV 161 consid. 3.1 p. 163 s.; ATF 143 IV 40 consid. 3.6 p. 47; ATF 137 IV 280 consid. 2.2.1 p. 283).</w:t>
      </w:r>
    </w:p>
    <w:p>
      <w:r>
        <w:rPr>
          <w:b/>
        </w:rPr>
        <w:t>E. 2.1.2</w:t>
      </w:r>
    </w:p>
    <w:p>
      <w:r>
        <w:t>L' art. 265 al. 1 CPP permet à l'autorité d'instruction d'obtenir auprès de leurs détenteurs les objets ou valeurs qui doivent être séquestrés en application de l' art. 263 CPP . L'ordre peut être assorti d'une commination de la peine prévue à l' art. 292 CP ( art. 265 al. 3 CPP ). L'ordre de dépôt permet à son destinataire de fournir volontairement les objets ou valeurs requis, sans recourir à des mesures de contrainte ( art. 265 al. 4 CPP ; ATF 143 IV 21 consid. 3.1 p. 23).</w:t>
      </w:r>
    </w:p>
    <w:p>
      <w:r>
        <w:rPr>
          <w:b/>
        </w:rPr>
        <w:t>E. 2.2</w:t>
      </w:r>
    </w:p>
    <w:p>
      <w:r>
        <w:t>La recourante, en sa qualité de titulaire du compte séquestré, est susceptible de revêtir la qualité de tiers touché par des actes de procédure (cf. art. 105 al. 1 let . f CPP) et donc, pour autant qu'elle dispose d'un intérêt juridiquement protégé à leur annulation ou à leur modification, de former un recours contre les décisions du Ministère public (cf. art. 382 al. 1 et 393 al. 1 let. a CPP). En l'occurrence, par son courrier du 4 septembre 2018, confirmé en substance par son courrier du 7 décembre 2018, le Ministère public, donnant suite à une interrogation de C.________ SA quant au sort des montants débités du compte de la recourante avant son séquestre, a invité la banque concernée à "envoyer un message à toutes les banques qui ont reçu les 67 sorties d'argent" pour leur demander le retour de ces valeurs patrimoniales sur le compte séquestré. A cet égard, il l'a en outre "remerciée" de le "tenir au courant des retours d'argent ainsi obtenus" (cf. courrier du Ministère public du 4 septembre 2018). Compte tenu des termes utilisés dans cette écriture et du contexte dans lequel elle a été rédigée, le procédé du Ministère public doit être compris comme une démarche initiée en vue de l'obtention éventuelle par C.________ SA, dans la mesure de ses possibilités, d'une restitution des fonds que le Procureur estime être le produit d'une infraction. On en déduit ainsi que l'obligation de dépôt (cf. art. 265 CPP ) mentionnée à la fin du courrier du 4 septembre 2018 ne concerne que la banque destinataire de ce courrier et se rapporte, tout au plus, au virement sur le compte séquestré des éventuels fonds que les banques tierces et leurs clients respectifs auraient accepté de lui restituer. Cela étant, en l'absence d'une mesure de contrainte les visant expressément, on ne voit pas que les banques sollicitées, ainsi que leurs clients, étaient tenus de donner suite à l'invitation de restitution qu'ils pourraient avoir reçue de C.________ SA. Une éventuelle restitution ne dépendait en effet que du bon vouloir des établissements bancaires concernés et des rapports de droit privé les liant à leurs clients respectifs. Dans ce contexte, on ne peut donc mettre en relation directe le courrier du Ministère public avec l'éventuel dommage "économique et réputationnel" ou l'atteinte au crédit qui auraient été causés par la démarche de C.________ SA auprès d'autres banques pour récupérer des fonds d'origine prétendument délictueuse. Peu importe à cet égard de déterminer si, comme l'a retenu la cour cantonale (cf. arrêt entrepris, consid. 2.2 p. 9), la responsabilité de la banque serait engagée vis-à-vis de son client. En définitive, il n'apparaît donc pas qu'en tant que telles, les correspondances des 4 septembre 2018 et 7 décembre 2018 et les démarches suggérées à C.________ SA dans ce cadre soient propres à causer une atteinte directe à des droits protégés de la recourante. Ainsi, au-delà de la question de la qualification juridique de ces écrits et de leur éventuel caractère de décisions soumises à un recours au sens des art. 393 ss CPP , la recourante n'établit pas disposer d'un intérêt juridiquement protégé au sens de l' art. 382 al. 1 CPP . Il s'ensuit que la cour cantonale n'a pas violé le droit fédéral en considérant que le recours devait être déclaré irrecevable.</w:t>
      </w:r>
    </w:p>
    <w:p>
      <w:r>
        <w:rPr>
          <w:b/>
        </w:rPr>
        <w:t>E. 2.3</w:t>
      </w:r>
    </w:p>
    <w:p>
      <w:r>
        <w:t>Par ailleurs, en tant que la recourante conclut au constat de la nullité absolue de ce qu'elle considère comme des décisions, il n'apparaît pas, au vu de ce qui précède, que celles-ci puissent être affectées de vices si graves ou manifestes, qui justifieraient à titre exceptionnel leur mise à néant en dehors des voies de recours ordinaires (cf. sur les conditions strictes de la nullité absolue d'une décision : ATF 138 II 501 consid. 3.1 p. 503 s.; ATF 138 III 49 consid. 4.4.3 p. 56; arrêt 6B_667/2017 du 15 décembre 2017 consid. 3.1).</w:t>
      </w:r>
    </w:p>
    <w:p>
      <w:r>
        <w:rPr>
          <w:b/>
        </w:rPr>
        <w:t>E. 2.4</w:t>
      </w:r>
    </w:p>
    <w:p>
      <w:r>
        <w:t>On relève enfin que les sommes qui pourraient être créditées sur le compte de la recourante sont en principe couvertes par le séquestre prononcé initialement par le Ministère public. Il demeure ainsi loisible à la recourante de solliciter la levée de cette mesure (cf. art. 267 al. 1 CPP ), si elle devait l'estimer injustifiée.</w:t>
      </w:r>
    </w:p>
    <w:p>
      <w:r>
        <w:rPr>
          <w:b/>
        </w:rPr>
        <w:t>E. 3</w:t>
      </w:r>
    </w:p>
    <w:p>
      <w:r>
        <w:t>Le recours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