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1B_36/2022 vom 4. Februar 2022</w:t>
      </w:r>
    </w:p>
    <w:p>
      <w:r>
        <w:t>Bundesgericht, 2022-02-04, IT</w:t>
      </w:r>
    </w:p>
    <w:p>
      <w:r>
        <w:rPr>
          <w:b/>
        </w:rPr>
        <w:t xml:space="preserve">Quelle: </w:t>
      </w:r>
      <w:r>
        <w:t>https://mcp.opencaselaw.ch/entscheid/bger_1B_36_2022</w:t>
      </w:r>
    </w:p>
    <w:p>
      <w:r>
        <w:t>FR: TF 1B_36/2022 du 4 février 2022</w:t>
      </w:r>
    </w:p>
    <w:p>
      <w:r>
        <w:t>IT: TF 1B_36/2022 del 4 febbraio 2022</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Diretto contro una decisione incidentale notificata separatamente e concernente una domanda di ricusazione emanata dall'autorità cantonale di ultima istanza ( art. 80 cpv. 1 LTF ), il ricorso, tempestivo e relativo a una causa in materia penale è, sotto questo profilo ammissibile (art. 78 cpv. 1 in relazione con l' art. 92 cpv. 1 LTF ; DTF 144 IV 90 consid. 1.1.1).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L' art. 56 CPP enumera specifici motivi di ricusazione per chi opera in seno a un'autorità penale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sulle specificità della ricusazione di procuratori pubblici prima e dopo la promozione dell'accusa, in particolare a causa di errori procedurali gravi e ripetuti, vedi DTF 141 IV 179 consid. 3.2.1-3.2.3 e consid. 3.3 e rinvii; 138 IV 142 consid. 2.2.1; sentenza 1B_25/2021 del 15 aprile 2021 consid. 2.1).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magistrato sia effettivamente prevenuto: per giustificare la sua ricusazione bastano circostanze concrete idonee a suscitare l'apparenza di una prevenzione e a far sorgere un rischio di parzialità.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 DTF 147 III 379 consid. 2.3.1; 141 IV 178 consid. 3.2.1). Dev'essere garantito che il processo rimanga aperto nell'ottica di tutte le parti ( DTF 143 IV 69 consid. 3.2; sentenza 1B_468/2018 del 15 novembre 2018 consid. 2.3). In maniera generale, le dichiarazioni di un magistrato devono essere interpretate in modo oggettivo, tenendo conto del loro contesto, delle loro modalità e dello scopo apparentemente ricercato dal loro autore (sentenze 1B_25/2021, citata, consid. 2.1 e 1B_186/2019 del 24 giugno 2019 consid. 5.1).</w:t>
      </w:r>
    </w:p>
    <w:p>
      <w:r>
        <w:rPr>
          <w:b/>
        </w:rPr>
        <w:t>E. 2.2</w:t>
      </w:r>
    </w:p>
    <w:p>
      <w:r>
        <w:t>Certo, la CRP ha stabilito che determinate affermazioni perentorie contenute nella citata istanza del PP appaiono al limite dell'imparzialità, ma che non costituirebbero ancora circostanze tali da giustificare, in concreto, la sua ricusazione.</w:t>
      </w:r>
    </w:p>
    <w:p>
      <w:r>
        <w:t>Decisivo è tuttavia il fatto che la CRP, richiamando il considerando n. 2.3.2.2 concernente la giurisprudenza relativa ai motivi di ricusa in relazione a eventuali errori compiuti da un magistrato nel corso di un procedimento penale, prassi con la quale il ricorrente non si confronta, ha in sostanza ritenuto che nel caso in esame il ricorrente avrebbe dovuto se del caso impugnare l'istanza presentata dal PP alla Pretura, per di più con una tempistica che non appare giustificata, piuttosto che chiedere la sua ricusazione.</w:t>
      </w:r>
    </w:p>
    <w:p>
      <w:r>
        <w:t>In effetti, 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 DTF 143 IV 69 consid. 3.2; 141 IV 178 consid. 3.2.3).</w:t>
      </w:r>
    </w:p>
    <w:p>
      <w:r>
        <w:rPr>
          <w:b/>
        </w:rPr>
        <w:t>E. 2.3</w:t>
      </w:r>
    </w:p>
    <w:p>
      <w:r>
        <w:t>Al riguardo il ricorrente si limita a riprendere le argomentazioni addotte dinanzi alla CRP, ma non si confronta poi con i motivi posti a fondamento del suo giudizio, segnatamente con l'argomentazione, decisiva, ch'egli avrebbe dovuto impugnare l'istanza presentata dal PP alla Pretura, e non chiedere la sua ricusazione.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